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rPr>
          <w:rFonts w:hint="eastAsia" w:asciiTheme="minorEastAsia" w:hAnsiTheme="minorEastAsia"/>
          <w:b/>
          <w:color w:val="000000" w:themeColor="text1"/>
          <w:sz w:val="44"/>
          <w:szCs w:val="44"/>
          <w14:textFill>
            <w14:solidFill>
              <w14:schemeClr w14:val="tx1"/>
            </w14:solidFill>
          </w14:textFill>
        </w:rPr>
      </w:pPr>
    </w:p>
    <w:p>
      <w:pPr>
        <w:pStyle w:val="2"/>
        <w:adjustRightInd w:val="0"/>
        <w:snapToGrid w:val="0"/>
        <w:spacing w:before="0" w:after="0" w:line="800" w:lineRule="exact"/>
        <w:jc w:val="center"/>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南通市总工会职工之家阵地建设项目</w:t>
      </w:r>
    </w:p>
    <w:p>
      <w:pPr>
        <w:rPr>
          <w:rFonts w:hint="eastAsia" w:ascii="宋体" w:hAnsi="宋体"/>
          <w:color w:val="000000" w:themeColor="text1"/>
          <w:sz w:val="44"/>
          <w:szCs w:val="44"/>
          <w14:textFill>
            <w14:solidFill>
              <w14:schemeClr w14:val="tx1"/>
            </w14:solidFill>
          </w14:textFill>
        </w:rPr>
      </w:pPr>
    </w:p>
    <w:p>
      <w:pPr>
        <w:pStyle w:val="24"/>
        <w:ind w:firstLine="880"/>
        <w:rPr>
          <w:rFonts w:hint="eastAsia"/>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pStyle w:val="24"/>
        <w:rPr>
          <w:rFonts w:hint="eastAsia"/>
        </w:rPr>
      </w:pPr>
    </w:p>
    <w:p>
      <w:pPr>
        <w:rPr>
          <w:lang w:val="zh-CN"/>
        </w:rPr>
      </w:pPr>
    </w:p>
    <w:p>
      <w:pPr>
        <w:spacing w:before="120" w:beforeLines="50" w:after="120" w:afterLines="50" w:line="360" w:lineRule="auto"/>
        <w:jc w:val="center"/>
        <w:rPr>
          <w:rFonts w:hint="eastAsia"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竞争性磋商文件</w:t>
      </w:r>
    </w:p>
    <w:p>
      <w:pPr>
        <w:spacing w:before="120" w:beforeLines="50" w:after="120" w:afterLines="50" w:line="360" w:lineRule="auto"/>
        <w:rPr>
          <w:rFonts w:ascii="宋体"/>
          <w:color w:val="000000" w:themeColor="text1"/>
          <w:sz w:val="28"/>
          <w:szCs w:val="28"/>
          <w14:textFill>
            <w14:solidFill>
              <w14:schemeClr w14:val="tx1"/>
            </w14:solidFill>
          </w14:textFill>
        </w:rPr>
      </w:pPr>
    </w:p>
    <w:p>
      <w:pPr>
        <w:spacing w:before="120" w:beforeLines="50" w:after="120" w:afterLines="50" w:line="360" w:lineRule="auto"/>
        <w:rPr>
          <w:rFonts w:ascii="宋体"/>
          <w:b/>
          <w:color w:val="000000" w:themeColor="text1"/>
          <w:sz w:val="32"/>
          <w:szCs w:val="32"/>
          <w14:textFill>
            <w14:solidFill>
              <w14:schemeClr w14:val="tx1"/>
            </w14:solidFill>
          </w14:textFill>
        </w:rPr>
      </w:pPr>
    </w:p>
    <w:p>
      <w:pPr>
        <w:spacing w:before="120" w:beforeLines="50" w:after="120" w:afterLines="50" w:line="360" w:lineRule="auto"/>
        <w:rPr>
          <w:rFonts w:ascii="宋体"/>
          <w:b/>
          <w:color w:val="000000" w:themeColor="text1"/>
          <w:sz w:val="32"/>
          <w:szCs w:val="32"/>
          <w14:textFill>
            <w14:solidFill>
              <w14:schemeClr w14:val="tx1"/>
            </w14:solidFill>
          </w14:textFill>
        </w:rPr>
      </w:pPr>
    </w:p>
    <w:p>
      <w:pPr>
        <w:spacing w:before="120" w:beforeLines="50" w:after="120" w:afterLines="50" w:line="360" w:lineRule="auto"/>
        <w:rPr>
          <w:rFonts w:ascii="宋体"/>
          <w:b/>
          <w:color w:val="000000" w:themeColor="text1"/>
          <w:sz w:val="32"/>
          <w:szCs w:val="32"/>
          <w14:textFill>
            <w14:solidFill>
              <w14:schemeClr w14:val="tx1"/>
            </w14:solidFill>
          </w14:textFill>
        </w:rPr>
      </w:pPr>
    </w:p>
    <w:p>
      <w:pPr>
        <w:spacing w:before="240" w:beforeLines="100" w:after="240" w:afterLines="100" w:line="360" w:lineRule="auto"/>
        <w:jc w:val="center"/>
        <w:rPr>
          <w:rFonts w:hint="eastAsia" w:ascii="宋体" w:hAnsi="宋体"/>
          <w:b/>
          <w:color w:val="000000" w:themeColor="text1"/>
          <w:sz w:val="36"/>
          <w:szCs w:val="36"/>
          <w14:textFill>
            <w14:solidFill>
              <w14:schemeClr w14:val="tx1"/>
            </w14:solidFill>
          </w14:textFill>
        </w:rPr>
      </w:pPr>
    </w:p>
    <w:p>
      <w:pPr>
        <w:spacing w:before="240" w:beforeLines="100" w:after="240" w:afterLines="10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招标人：南通市总工会</w:t>
      </w:r>
    </w:p>
    <w:p>
      <w:pPr>
        <w:spacing w:before="240" w:beforeLines="100" w:after="240" w:afterLines="10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代理机构：江苏省鼎诚建设工程顾问有限公司</w:t>
      </w:r>
    </w:p>
    <w:p>
      <w:pPr>
        <w:spacing w:before="240" w:beforeLines="100" w:after="240" w:afterLines="10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日期：2025年08月11日</w:t>
      </w:r>
    </w:p>
    <w:p>
      <w:pPr>
        <w:spacing w:before="240" w:beforeLines="100" w:after="240" w:afterLines="100" w:line="360" w:lineRule="auto"/>
        <w:ind w:firstLine="708" w:firstLineChars="196"/>
        <w:rPr>
          <w:rFonts w:hint="eastAsia"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pStyle w:val="28"/>
        <w:jc w:val="center"/>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lang w:val="zh-CN"/>
          <w14:textFill>
            <w14:solidFill>
              <w14:schemeClr w14:val="tx1"/>
            </w14:solidFill>
          </w14:textFill>
        </w:rPr>
        <w:t>目录</w:t>
      </w:r>
    </w:p>
    <w:p>
      <w:pPr>
        <w:pStyle w:val="16"/>
        <w:tabs>
          <w:tab w:val="right" w:leader="dot" w:pos="9344"/>
        </w:tabs>
        <w:rPr>
          <w:rFonts w:asciiTheme="minorHAnsi" w:hAnsiTheme="minorHAnsi" w:eastAsiaTheme="minorEastAsia" w:cstheme="minorBidi"/>
          <w:color w:val="000000" w:themeColor="text1"/>
          <w:sz w:val="24"/>
          <w:szCs w:val="28"/>
          <w14:textFill>
            <w14:solidFill>
              <w14:schemeClr w14:val="tx1"/>
            </w14:solidFill>
          </w14:textFill>
        </w:rPr>
      </w:pPr>
      <w:r>
        <w:rPr>
          <w:rFonts w:ascii="宋体" w:hAnsi="宋体"/>
          <w:color w:val="000000" w:themeColor="text1"/>
          <w:sz w:val="36"/>
          <w:szCs w:val="36"/>
          <w14:textFill>
            <w14:solidFill>
              <w14:schemeClr w14:val="tx1"/>
            </w14:solidFill>
          </w14:textFill>
        </w:rPr>
        <w:fldChar w:fldCharType="begin"/>
      </w:r>
      <w:r>
        <w:rPr>
          <w:rFonts w:ascii="宋体" w:hAnsi="宋体"/>
          <w:color w:val="000000" w:themeColor="text1"/>
          <w:sz w:val="36"/>
          <w:szCs w:val="36"/>
          <w14:textFill>
            <w14:solidFill>
              <w14:schemeClr w14:val="tx1"/>
            </w14:solidFill>
          </w14:textFill>
        </w:rPr>
        <w:instrText xml:space="preserve"> TOC \o "1-3" \h \z \u </w:instrText>
      </w:r>
      <w:r>
        <w:rPr>
          <w:rFonts w:ascii="宋体" w:hAnsi="宋体"/>
          <w:color w:val="000000" w:themeColor="text1"/>
          <w:sz w:val="36"/>
          <w:szCs w:val="36"/>
          <w14:textFill>
            <w14:solidFill>
              <w14:schemeClr w14:val="tx1"/>
            </w14:solidFill>
          </w14:textFill>
        </w:rPr>
        <w:fldChar w:fldCharType="separate"/>
      </w:r>
      <w:r>
        <w:fldChar w:fldCharType="begin"/>
      </w:r>
      <w:r>
        <w:instrText xml:space="preserve"> HYPERLINK \l "_Toc517717025" </w:instrText>
      </w:r>
      <w:r>
        <w:fldChar w:fldCharType="separate"/>
      </w:r>
      <w:r>
        <w:rPr>
          <w:rStyle w:val="23"/>
          <w:rFonts w:hint="eastAsia"/>
          <w:color w:val="000000" w:themeColor="text1"/>
          <w:sz w:val="24"/>
          <w:szCs w:val="28"/>
          <w14:textFill>
            <w14:solidFill>
              <w14:schemeClr w14:val="tx1"/>
            </w14:solidFill>
          </w14:textFill>
        </w:rPr>
        <w:t>第一章招标公告</w:t>
      </w:r>
      <w:r>
        <w:rPr>
          <w:color w:val="000000" w:themeColor="text1"/>
          <w:sz w:val="24"/>
          <w:szCs w:val="28"/>
          <w14:textFill>
            <w14:solidFill>
              <w14:schemeClr w14:val="tx1"/>
            </w14:solidFill>
          </w14:textFill>
        </w:rPr>
        <w:tab/>
      </w:r>
      <w:r>
        <w:rPr>
          <w:color w:val="000000" w:themeColor="text1"/>
          <w:sz w:val="24"/>
          <w:szCs w:val="28"/>
          <w14:textFill>
            <w14:solidFill>
              <w14:schemeClr w14:val="tx1"/>
            </w14:solidFill>
          </w14:textFill>
        </w:rPr>
        <w:fldChar w:fldCharType="begin"/>
      </w:r>
      <w:r>
        <w:rPr>
          <w:color w:val="000000" w:themeColor="text1"/>
          <w:sz w:val="24"/>
          <w:szCs w:val="28"/>
          <w14:textFill>
            <w14:solidFill>
              <w14:schemeClr w14:val="tx1"/>
            </w14:solidFill>
          </w14:textFill>
        </w:rPr>
        <w:instrText xml:space="preserve"> PAGEREF _Toc517717025 \h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t>- 3 -</w:t>
      </w:r>
      <w:r>
        <w:rPr>
          <w:color w:val="000000" w:themeColor="text1"/>
          <w:sz w:val="24"/>
          <w:szCs w:val="28"/>
          <w14:textFill>
            <w14:solidFill>
              <w14:schemeClr w14:val="tx1"/>
            </w14:solidFill>
          </w14:textFill>
        </w:rPr>
        <w:fldChar w:fldCharType="end"/>
      </w:r>
      <w:r>
        <w:rPr>
          <w:color w:val="000000" w:themeColor="text1"/>
          <w:sz w:val="24"/>
          <w:szCs w:val="28"/>
          <w14:textFill>
            <w14:solidFill>
              <w14:schemeClr w14:val="tx1"/>
            </w14:solidFill>
          </w14:textFill>
        </w:rPr>
        <w:fldChar w:fldCharType="end"/>
      </w:r>
    </w:p>
    <w:p>
      <w:pPr>
        <w:pStyle w:val="16"/>
        <w:tabs>
          <w:tab w:val="right" w:leader="dot" w:pos="9344"/>
        </w:tabs>
        <w:rPr>
          <w:rFonts w:asciiTheme="minorHAnsi" w:hAnsiTheme="minorHAnsi" w:eastAsiaTheme="minorEastAsia" w:cstheme="minorBidi"/>
          <w:color w:val="000000" w:themeColor="text1"/>
          <w:sz w:val="24"/>
          <w:szCs w:val="28"/>
          <w14:textFill>
            <w14:solidFill>
              <w14:schemeClr w14:val="tx1"/>
            </w14:solidFill>
          </w14:textFill>
        </w:rPr>
      </w:pPr>
      <w:r>
        <w:fldChar w:fldCharType="begin"/>
      </w:r>
      <w:r>
        <w:instrText xml:space="preserve"> HYPERLINK \l "_Toc517717026" </w:instrText>
      </w:r>
      <w:r>
        <w:fldChar w:fldCharType="separate"/>
      </w:r>
      <w:r>
        <w:rPr>
          <w:rStyle w:val="23"/>
          <w:rFonts w:hint="eastAsia"/>
          <w:color w:val="000000" w:themeColor="text1"/>
          <w:sz w:val="24"/>
          <w:szCs w:val="28"/>
          <w14:textFill>
            <w14:solidFill>
              <w14:schemeClr w14:val="tx1"/>
            </w14:solidFill>
          </w14:textFill>
        </w:rPr>
        <w:t>第二章磋商供应商须知</w:t>
      </w:r>
      <w:r>
        <w:rPr>
          <w:color w:val="000000" w:themeColor="text1"/>
          <w:sz w:val="24"/>
          <w:szCs w:val="28"/>
          <w14:textFill>
            <w14:solidFill>
              <w14:schemeClr w14:val="tx1"/>
            </w14:solidFill>
          </w14:textFill>
        </w:rPr>
        <w:tab/>
      </w:r>
      <w:r>
        <w:rPr>
          <w:color w:val="000000" w:themeColor="text1"/>
          <w:sz w:val="24"/>
          <w:szCs w:val="28"/>
          <w14:textFill>
            <w14:solidFill>
              <w14:schemeClr w14:val="tx1"/>
            </w14:solidFill>
          </w14:textFill>
        </w:rPr>
        <w:fldChar w:fldCharType="begin"/>
      </w:r>
      <w:r>
        <w:rPr>
          <w:color w:val="000000" w:themeColor="text1"/>
          <w:sz w:val="24"/>
          <w:szCs w:val="28"/>
          <w14:textFill>
            <w14:solidFill>
              <w14:schemeClr w14:val="tx1"/>
            </w14:solidFill>
          </w14:textFill>
        </w:rPr>
        <w:instrText xml:space="preserve"> PAGEREF _Toc517717026 \h </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t>- 4 -</w:t>
      </w:r>
      <w:r>
        <w:rPr>
          <w:color w:val="000000" w:themeColor="text1"/>
          <w:sz w:val="24"/>
          <w:szCs w:val="28"/>
          <w14:textFill>
            <w14:solidFill>
              <w14:schemeClr w14:val="tx1"/>
            </w14:solidFill>
          </w14:textFill>
        </w:rPr>
        <w:fldChar w:fldCharType="end"/>
      </w:r>
      <w:r>
        <w:rPr>
          <w:color w:val="000000" w:themeColor="text1"/>
          <w:sz w:val="24"/>
          <w:szCs w:val="28"/>
          <w14:textFill>
            <w14:solidFill>
              <w14:schemeClr w14:val="tx1"/>
            </w14:solidFill>
          </w14:textFill>
        </w:rPr>
        <w:fldChar w:fldCharType="end"/>
      </w:r>
    </w:p>
    <w:p>
      <w:pPr>
        <w:pStyle w:val="16"/>
        <w:tabs>
          <w:tab w:val="right" w:leader="dot" w:pos="9344"/>
        </w:tabs>
        <w:rPr>
          <w:color w:val="000000" w:themeColor="text1"/>
          <w:sz w:val="24"/>
          <w:szCs w:val="28"/>
          <w14:textFill>
            <w14:solidFill>
              <w14:schemeClr w14:val="tx1"/>
            </w14:solidFill>
          </w14:textFill>
        </w:rPr>
      </w:pPr>
      <w:r>
        <w:fldChar w:fldCharType="begin"/>
      </w:r>
      <w:r>
        <w:instrText xml:space="preserve"> HYPERLINK \l "_Toc517717027" </w:instrText>
      </w:r>
      <w:r>
        <w:fldChar w:fldCharType="separate"/>
      </w:r>
      <w:r>
        <w:rPr>
          <w:rStyle w:val="23"/>
          <w:rFonts w:hint="eastAsia"/>
          <w:color w:val="000000" w:themeColor="text1"/>
          <w:sz w:val="24"/>
          <w:szCs w:val="28"/>
          <w14:textFill>
            <w14:solidFill>
              <w14:schemeClr w14:val="tx1"/>
            </w14:solidFill>
          </w14:textFill>
        </w:rPr>
        <w:t>第三章采购需求</w:t>
      </w:r>
      <w:r>
        <w:rPr>
          <w:color w:val="000000" w:themeColor="text1"/>
          <w:sz w:val="24"/>
          <w:szCs w:val="28"/>
          <w14:textFill>
            <w14:solidFill>
              <w14:schemeClr w14:val="tx1"/>
            </w14:solidFill>
          </w14:textFill>
        </w:rPr>
        <w:tab/>
      </w:r>
      <w:r>
        <w:rPr>
          <w:rFonts w:hint="eastAsia"/>
          <w:color w:val="000000" w:themeColor="text1"/>
          <w:sz w:val="24"/>
          <w:szCs w:val="28"/>
          <w14:textFill>
            <w14:solidFill>
              <w14:schemeClr w14:val="tx1"/>
            </w14:solidFill>
          </w14:textFill>
        </w:rPr>
        <w:t>9</w:t>
      </w:r>
      <w:r>
        <w:rPr>
          <w:rFonts w:hint="eastAsia"/>
          <w:color w:val="000000" w:themeColor="text1"/>
          <w:sz w:val="24"/>
          <w:szCs w:val="28"/>
          <w14:textFill>
            <w14:solidFill>
              <w14:schemeClr w14:val="tx1"/>
            </w14:solidFill>
          </w14:textFill>
        </w:rPr>
        <w:fldChar w:fldCharType="end"/>
      </w:r>
    </w:p>
    <w:p>
      <w:pPr>
        <w:pStyle w:val="16"/>
        <w:tabs>
          <w:tab w:val="right" w:leader="dot" w:pos="9344"/>
        </w:tabs>
        <w:rPr>
          <w:color w:val="000000" w:themeColor="text1"/>
          <w:sz w:val="24"/>
          <w:szCs w:val="28"/>
          <w14:textFill>
            <w14:solidFill>
              <w14:schemeClr w14:val="tx1"/>
            </w14:solidFill>
          </w14:textFill>
        </w:rPr>
      </w:pPr>
      <w:r>
        <w:fldChar w:fldCharType="begin"/>
      </w:r>
      <w:r>
        <w:instrText xml:space="preserve"> HYPERLINK \l "_Toc517717028" </w:instrText>
      </w:r>
      <w:r>
        <w:fldChar w:fldCharType="separate"/>
      </w:r>
      <w:r>
        <w:rPr>
          <w:rStyle w:val="23"/>
          <w:rFonts w:hint="eastAsia"/>
          <w:color w:val="000000" w:themeColor="text1"/>
          <w:sz w:val="24"/>
          <w:szCs w:val="28"/>
          <w14:textFill>
            <w14:solidFill>
              <w14:schemeClr w14:val="tx1"/>
            </w14:solidFill>
          </w14:textFill>
        </w:rPr>
        <w:t>第四章评标办法</w:t>
      </w:r>
      <w:r>
        <w:rPr>
          <w:color w:val="000000" w:themeColor="text1"/>
          <w:sz w:val="24"/>
          <w:szCs w:val="28"/>
          <w14:textFill>
            <w14:solidFill>
              <w14:schemeClr w14:val="tx1"/>
            </w14:solidFill>
          </w14:textFill>
        </w:rPr>
        <w:tab/>
      </w:r>
      <w:r>
        <w:rPr>
          <w:rFonts w:hint="eastAsia"/>
          <w:color w:val="000000" w:themeColor="text1"/>
          <w:sz w:val="24"/>
          <w:szCs w:val="28"/>
          <w14:textFill>
            <w14:solidFill>
              <w14:schemeClr w14:val="tx1"/>
            </w14:solidFill>
          </w14:textFill>
        </w:rPr>
        <w:t>10</w:t>
      </w:r>
      <w:r>
        <w:rPr>
          <w:rFonts w:hint="eastAsia"/>
          <w:color w:val="000000" w:themeColor="text1"/>
          <w:sz w:val="24"/>
          <w:szCs w:val="28"/>
          <w14:textFill>
            <w14:solidFill>
              <w14:schemeClr w14:val="tx1"/>
            </w14:solidFill>
          </w14:textFill>
        </w:rPr>
        <w:fldChar w:fldCharType="end"/>
      </w:r>
    </w:p>
    <w:p>
      <w:pPr>
        <w:pStyle w:val="16"/>
        <w:tabs>
          <w:tab w:val="right" w:leader="dot" w:pos="9344"/>
        </w:tabs>
        <w:rPr>
          <w:color w:val="000000" w:themeColor="text1"/>
          <w:sz w:val="24"/>
          <w:szCs w:val="28"/>
          <w14:textFill>
            <w14:solidFill>
              <w14:schemeClr w14:val="tx1"/>
            </w14:solidFill>
          </w14:textFill>
        </w:rPr>
      </w:pPr>
      <w:r>
        <w:fldChar w:fldCharType="begin"/>
      </w:r>
      <w:r>
        <w:instrText xml:space="preserve"> HYPERLINK \l "_Toc517717028" </w:instrText>
      </w:r>
      <w:r>
        <w:fldChar w:fldCharType="separate"/>
      </w:r>
      <w:r>
        <w:rPr>
          <w:rStyle w:val="23"/>
          <w:rFonts w:hint="eastAsia"/>
          <w:color w:val="000000" w:themeColor="text1"/>
          <w:sz w:val="24"/>
          <w:szCs w:val="28"/>
          <w14:textFill>
            <w14:solidFill>
              <w14:schemeClr w14:val="tx1"/>
            </w14:solidFill>
          </w14:textFill>
        </w:rPr>
        <w:t>第五章合同主要条款表</w:t>
      </w:r>
      <w:r>
        <w:rPr>
          <w:color w:val="000000" w:themeColor="text1"/>
          <w:sz w:val="24"/>
          <w:szCs w:val="28"/>
          <w14:textFill>
            <w14:solidFill>
              <w14:schemeClr w14:val="tx1"/>
            </w14:solidFill>
          </w14:textFill>
        </w:rPr>
        <w:tab/>
      </w:r>
      <w:r>
        <w:rPr>
          <w:rFonts w:hint="eastAsia"/>
          <w:color w:val="000000" w:themeColor="text1"/>
          <w:sz w:val="24"/>
          <w:szCs w:val="28"/>
          <w14:textFill>
            <w14:solidFill>
              <w14:schemeClr w14:val="tx1"/>
            </w14:solidFill>
          </w14:textFill>
        </w:rPr>
        <w:t>14</w:t>
      </w:r>
      <w:r>
        <w:rPr>
          <w:rFonts w:hint="eastAsia"/>
          <w:color w:val="000000" w:themeColor="text1"/>
          <w:sz w:val="24"/>
          <w:szCs w:val="28"/>
          <w14:textFill>
            <w14:solidFill>
              <w14:schemeClr w14:val="tx1"/>
            </w14:solidFill>
          </w14:textFill>
        </w:rPr>
        <w:fldChar w:fldCharType="end"/>
      </w:r>
    </w:p>
    <w:p>
      <w:pPr>
        <w:pStyle w:val="16"/>
        <w:tabs>
          <w:tab w:val="right" w:leader="dot" w:pos="9344"/>
        </w:tabs>
        <w:rPr>
          <w:rFonts w:asciiTheme="minorHAnsi" w:hAnsiTheme="minorHAnsi" w:cstheme="minorBidi"/>
          <w:color w:val="000000" w:themeColor="text1"/>
          <w:sz w:val="24"/>
          <w:szCs w:val="28"/>
          <w14:textFill>
            <w14:solidFill>
              <w14:schemeClr w14:val="tx1"/>
            </w14:solidFill>
          </w14:textFill>
        </w:rPr>
      </w:pPr>
      <w:r>
        <w:fldChar w:fldCharType="begin"/>
      </w:r>
      <w:r>
        <w:instrText xml:space="preserve"> HYPERLINK \l "_Toc517717029" </w:instrText>
      </w:r>
      <w:r>
        <w:fldChar w:fldCharType="separate"/>
      </w:r>
      <w:r>
        <w:rPr>
          <w:rStyle w:val="23"/>
          <w:rFonts w:hint="eastAsia"/>
          <w:color w:val="000000" w:themeColor="text1"/>
          <w:sz w:val="24"/>
          <w:szCs w:val="28"/>
          <w14:textFill>
            <w14:solidFill>
              <w14:schemeClr w14:val="tx1"/>
            </w14:solidFill>
          </w14:textFill>
        </w:rPr>
        <w:t>第六章投标文件格式</w:t>
      </w:r>
      <w:r>
        <w:rPr>
          <w:color w:val="000000" w:themeColor="text1"/>
          <w:sz w:val="24"/>
          <w:szCs w:val="28"/>
          <w14:textFill>
            <w14:solidFill>
              <w14:schemeClr w14:val="tx1"/>
            </w14:solidFill>
          </w14:textFill>
        </w:rPr>
        <w:tab/>
      </w:r>
      <w:r>
        <w:rPr>
          <w:rFonts w:hint="eastAsia"/>
          <w:color w:val="000000" w:themeColor="text1"/>
          <w:sz w:val="24"/>
          <w:szCs w:val="28"/>
          <w14:textFill>
            <w14:solidFill>
              <w14:schemeClr w14:val="tx1"/>
            </w14:solidFill>
          </w14:textFill>
        </w:rPr>
        <w:t>2</w:t>
      </w:r>
      <w:r>
        <w:rPr>
          <w:rFonts w:hint="eastAsia"/>
          <w:color w:val="000000" w:themeColor="text1"/>
          <w:sz w:val="24"/>
          <w:szCs w:val="28"/>
          <w14:textFill>
            <w14:solidFill>
              <w14:schemeClr w14:val="tx1"/>
            </w14:solidFill>
          </w14:textFill>
        </w:rPr>
        <w:fldChar w:fldCharType="end"/>
      </w:r>
      <w:r>
        <w:rPr>
          <w:rFonts w:hint="eastAsia"/>
          <w:color w:val="000000" w:themeColor="text1"/>
          <w:sz w:val="24"/>
          <w:szCs w:val="28"/>
          <w14:textFill>
            <w14:solidFill>
              <w14:schemeClr w14:val="tx1"/>
            </w14:solidFill>
          </w14:textFill>
        </w:rPr>
        <w:t>3</w:t>
      </w:r>
    </w:p>
    <w:p>
      <w:pPr>
        <w:rPr>
          <w:rFonts w:ascii="宋体"/>
          <w:color w:val="000000" w:themeColor="text1"/>
          <w:sz w:val="36"/>
          <w:szCs w:val="36"/>
          <w14:textFill>
            <w14:solidFill>
              <w14:schemeClr w14:val="tx1"/>
            </w14:solidFill>
          </w14:textFill>
        </w:rPr>
      </w:pPr>
      <w:r>
        <w:rPr>
          <w:rFonts w:ascii="宋体" w:hAnsi="宋体"/>
          <w:color w:val="000000" w:themeColor="text1"/>
          <w:sz w:val="36"/>
          <w:szCs w:val="36"/>
          <w14:textFill>
            <w14:solidFill>
              <w14:schemeClr w14:val="tx1"/>
            </w14:solidFill>
          </w14:textFill>
        </w:rPr>
        <w:fldChar w:fldCharType="end"/>
      </w:r>
    </w:p>
    <w:p>
      <w:pPr>
        <w:rPr>
          <w:rFonts w:ascii="宋体"/>
          <w:color w:val="000000" w:themeColor="text1"/>
          <w:sz w:val="28"/>
          <w:szCs w:val="28"/>
          <w14:textFill>
            <w14:solidFill>
              <w14:schemeClr w14:val="tx1"/>
            </w14:solidFill>
          </w14:textFill>
        </w:rPr>
      </w:pPr>
    </w:p>
    <w:p>
      <w:pPr>
        <w:rPr>
          <w:rFonts w:ascii="宋体"/>
          <w:color w:val="000000" w:themeColor="text1"/>
          <w:sz w:val="28"/>
          <w:szCs w:val="28"/>
          <w14:textFill>
            <w14:solidFill>
              <w14:schemeClr w14:val="tx1"/>
            </w14:solidFill>
          </w14:textFill>
        </w:rPr>
      </w:pPr>
    </w:p>
    <w:p>
      <w:pPr>
        <w:widowControl/>
        <w:jc w:val="left"/>
        <w:rPr>
          <w:rFonts w:ascii="宋体"/>
          <w:color w:val="000000" w:themeColor="text1"/>
          <w:sz w:val="28"/>
          <w:szCs w:val="28"/>
          <w14:textFill>
            <w14:solidFill>
              <w14:schemeClr w14:val="tx1"/>
            </w14:solidFill>
          </w14:textFill>
        </w:rPr>
      </w:pPr>
      <w:r>
        <w:rPr>
          <w:rFonts w:ascii="宋体"/>
          <w:color w:val="000000" w:themeColor="text1"/>
          <w:sz w:val="28"/>
          <w:szCs w:val="28"/>
          <w14:textFill>
            <w14:solidFill>
              <w14:schemeClr w14:val="tx1"/>
            </w14:solidFill>
          </w14:textFill>
        </w:rPr>
        <w:br w:type="page"/>
      </w:r>
    </w:p>
    <w:p>
      <w:pPr>
        <w:pStyle w:val="2"/>
        <w:spacing w:before="240" w:after="240" w:line="360" w:lineRule="auto"/>
        <w:jc w:val="center"/>
        <w:rPr>
          <w:color w:val="000000" w:themeColor="text1"/>
          <w14:textFill>
            <w14:solidFill>
              <w14:schemeClr w14:val="tx1"/>
            </w14:solidFill>
          </w14:textFill>
        </w:rPr>
      </w:pPr>
      <w:bookmarkStart w:id="0" w:name="_Toc517717025"/>
      <w:r>
        <w:rPr>
          <w:rFonts w:hint="eastAsia"/>
          <w:color w:val="000000" w:themeColor="text1"/>
          <w14:textFill>
            <w14:solidFill>
              <w14:schemeClr w14:val="tx1"/>
            </w14:solidFill>
          </w14:textFill>
        </w:rPr>
        <w:t>第一章 招标公告</w:t>
      </w:r>
      <w:bookmarkEnd w:id="0"/>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江苏省鼎诚建设工程顾问有限公司（以下简称代理机构）受南通市总工会（以下简称采购单位）的委托，对</w:t>
      </w:r>
      <w:r>
        <w:rPr>
          <w:rFonts w:hint="eastAsia" w:ascii="宋体" w:hAnsi="宋体" w:cs="宋体"/>
          <w:color w:val="000000" w:themeColor="text1"/>
          <w:sz w:val="24"/>
          <w:szCs w:val="24"/>
          <w:lang w:val="zh-CN"/>
          <w14:textFill>
            <w14:solidFill>
              <w14:schemeClr w14:val="tx1"/>
            </w14:solidFill>
          </w14:textFill>
        </w:rPr>
        <w:t>南通市总工会职工之家阵地建设项目</w:t>
      </w:r>
      <w:r>
        <w:rPr>
          <w:rFonts w:hint="eastAsia" w:ascii="宋体" w:hAnsi="宋体" w:cs="宋体"/>
          <w:color w:val="000000" w:themeColor="text1"/>
          <w:sz w:val="24"/>
          <w:szCs w:val="24"/>
          <w14:textFill>
            <w14:solidFill>
              <w14:schemeClr w14:val="tx1"/>
            </w14:solidFill>
          </w14:textFill>
        </w:rPr>
        <w:t>组织竞争性磋商采购，诚邀符合条件的潜在供应商参加该项目的竞争性磋商。</w:t>
      </w:r>
    </w:p>
    <w:p>
      <w:pPr>
        <w:snapToGrid w:val="0"/>
        <w:spacing w:before="120" w:beforeLines="50" w:after="120" w:afterLines="50" w:line="500" w:lineRule="exact"/>
        <w:ind w:firstLine="480" w:firstLineChars="200"/>
        <w:rPr>
          <w:rFonts w:ascii="宋体"/>
          <w:b/>
          <w:color w:val="000000" w:themeColor="text1"/>
          <w:sz w:val="72"/>
          <w:szCs w:val="7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一、项目名称：</w:t>
      </w:r>
      <w:r>
        <w:rPr>
          <w:rFonts w:hint="eastAsia" w:ascii="宋体" w:hAnsi="宋体" w:cs="宋体"/>
          <w:color w:val="000000" w:themeColor="text1"/>
          <w:sz w:val="24"/>
          <w:szCs w:val="24"/>
          <w:lang w:val="zh-CN"/>
          <w14:textFill>
            <w14:solidFill>
              <w14:schemeClr w14:val="tx1"/>
            </w14:solidFill>
          </w14:textFill>
        </w:rPr>
        <w:t>南通市总工会职工之家阵地建设项目</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二、采购预算：23万</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三、资金来源：自筹</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四、项目需求：详见第三章</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五、竞磋供应商资格要求 </w:t>
      </w:r>
    </w:p>
    <w:p>
      <w:pPr>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1、参加本次政府采购活动供应商必须符合《中华人民共和国政府采购法》第二十二条以及《中华人民共和国政府采购法实施条例》第十七条的相关规定及以下要求：</w:t>
      </w:r>
    </w:p>
    <w:p>
      <w:pPr>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2、在中华人民共和国境内注册，具有独立承担民事责任能力的企事业法人；</w:t>
      </w:r>
    </w:p>
    <w:p>
      <w:pPr>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3、本项目不接受联合体投标，投标供应商必须具备独立完成该项目建设的能力，中标后不允许分包或转包。</w:t>
      </w:r>
    </w:p>
    <w:p>
      <w:pPr>
        <w:snapToGrid w:val="0"/>
        <w:spacing w:line="500" w:lineRule="exact"/>
        <w:ind w:firstLine="482" w:firstLineChars="200"/>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请竞磋供应商认真对照资格要求，如不符合要求，无意或故意参与投标的，所产生的一切后果由竞磋供应商承担。对提供虚假材料的竞磋供应商作无效标处理。</w:t>
      </w:r>
      <w:r>
        <w:rPr>
          <w:rFonts w:ascii="宋体" w:hAnsi="宋体" w:cs="宋体"/>
          <w:b/>
          <w:color w:val="000000" w:themeColor="text1"/>
          <w:sz w:val="24"/>
          <w:szCs w:val="24"/>
          <w:lang w:val="zh-CN"/>
          <w14:textFill>
            <w14:solidFill>
              <w14:schemeClr w14:val="tx1"/>
            </w14:solidFill>
          </w14:textFill>
        </w:rPr>
        <w:t xml:space="preserve"> </w:t>
      </w:r>
    </w:p>
    <w:p>
      <w:pPr>
        <w:shd w:val="clear" w:color="auto" w:fill="FFFFFF"/>
        <w:snapToGrid w:val="0"/>
        <w:spacing w:line="500" w:lineRule="exact"/>
        <w:ind w:firstLine="480" w:firstLineChars="200"/>
        <w:rPr>
          <w:rFonts w:hint="eastAsia" w:ascii="宋体" w:hAnsi="宋体" w:cs="宋体"/>
          <w:b/>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六、采购文件的获取：</w:t>
      </w:r>
      <w:r>
        <w:rPr>
          <w:rFonts w:hint="eastAsia" w:ascii="宋体" w:hAnsi="宋体" w:eastAsia="宋体" w:cs="宋体"/>
          <w:color w:val="000000" w:themeColor="text1"/>
          <w:sz w:val="24"/>
          <w14:textFill>
            <w14:solidFill>
              <w14:schemeClr w14:val="tx1"/>
            </w14:solidFill>
          </w14:textFill>
        </w:rPr>
        <w:t>南通市总工会官网公告栏</w:t>
      </w:r>
      <w:r>
        <w:rPr>
          <w:rFonts w:hint="eastAsia" w:ascii="宋体" w:hAnsi="宋体" w:cs="宋体"/>
          <w:color w:val="000000" w:themeColor="text1"/>
          <w:kern w:val="0"/>
          <w:sz w:val="24"/>
          <w:szCs w:val="24"/>
          <w14:textFill>
            <w14:solidFill>
              <w14:schemeClr w14:val="tx1"/>
            </w14:solidFill>
          </w14:textFill>
        </w:rPr>
        <w:t>，各投标人自行上网查询、下载。获取时间由发布招标公告的同时开始，到提交投标文件截止时结束，请各投标人自行关注，否则，引起的后果由投标人自行承担。</w:t>
      </w:r>
      <w:r>
        <w:rPr>
          <w:rFonts w:hint="eastAsia" w:ascii="宋体" w:hAnsi="宋体" w:cs="宋体"/>
          <w:color w:val="000000" w:themeColor="text1"/>
          <w:kern w:val="0"/>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资料费每套300元，递交磋商文件时现场支付</w:t>
      </w:r>
      <w:r>
        <w:rPr>
          <w:rFonts w:hint="eastAsia" w:ascii="宋体" w:hAnsi="宋体"/>
          <w:color w:val="000000" w:themeColor="text1"/>
          <w:kern w:val="0"/>
          <w:sz w:val="24"/>
          <w:highlight w:val="none"/>
          <w14:textFill>
            <w14:solidFill>
              <w14:schemeClr w14:val="tx1"/>
            </w14:solidFill>
          </w14:textFill>
        </w:rPr>
        <w:t>（代理机构收取，与招标人无关）</w:t>
      </w:r>
      <w:r>
        <w:rPr>
          <w:rFonts w:hint="eastAsia" w:ascii="宋体" w:hAnsi="宋体"/>
          <w:color w:val="000000" w:themeColor="text1"/>
          <w:kern w:val="0"/>
          <w:sz w:val="24"/>
          <w14:textFill>
            <w14:solidFill>
              <w14:schemeClr w14:val="tx1"/>
            </w14:solidFill>
          </w14:textFill>
        </w:rPr>
        <w:t>，无论是否中标，资料费概不退还。</w:t>
      </w:r>
    </w:p>
    <w:p>
      <w:pPr>
        <w:shd w:val="clear" w:color="auto" w:fill="FFFFFF"/>
        <w:snapToGrid w:val="0"/>
        <w:spacing w:line="5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七、竞磋响应文件接收截止及评审磋商开始时间：</w:t>
      </w:r>
      <w:r>
        <w:rPr>
          <w:rFonts w:hint="eastAsia" w:ascii="宋体" w:hAnsi="宋体" w:cs="宋体"/>
          <w:b/>
          <w:bCs/>
          <w:color w:val="000000" w:themeColor="text1"/>
          <w:kern w:val="0"/>
          <w:sz w:val="24"/>
          <w:szCs w:val="24"/>
          <w14:textFill>
            <w14:solidFill>
              <w14:schemeClr w14:val="tx1"/>
            </w14:solidFill>
          </w14:textFill>
        </w:rPr>
        <w:t>2025年8月22日09时30分</w:t>
      </w:r>
      <w:r>
        <w:rPr>
          <w:rFonts w:hint="eastAsia" w:ascii="宋体" w:hAnsi="宋体" w:cs="宋体"/>
          <w:color w:val="000000" w:themeColor="text1"/>
          <w:kern w:val="0"/>
          <w:sz w:val="24"/>
          <w:szCs w:val="24"/>
          <w14:textFill>
            <w14:solidFill>
              <w14:schemeClr w14:val="tx1"/>
            </w14:solidFill>
          </w14:textFill>
        </w:rPr>
        <w:t>。</w:t>
      </w:r>
    </w:p>
    <w:p>
      <w:pPr>
        <w:shd w:val="clear" w:color="auto" w:fill="FFFFFF"/>
        <w:snapToGrid w:val="0"/>
        <w:spacing w:line="5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八、竞磋响应文件递交地址：南通市崇川区段家坝工人业余大学2号楼3楼305室，如有变动另行通知。</w:t>
      </w:r>
    </w:p>
    <w:p>
      <w:pPr>
        <w:shd w:val="clear" w:color="auto" w:fill="FFFFFF"/>
        <w:snapToGrid w:val="0"/>
        <w:spacing w:line="5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九、磋商文件份数：正本壹份，副本贰份。</w:t>
      </w:r>
    </w:p>
    <w:p>
      <w:pPr>
        <w:shd w:val="clear" w:color="auto" w:fill="FFFFFF"/>
        <w:snapToGrid w:val="0"/>
        <w:spacing w:line="5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十、合同签订地点：南通市总工会。</w:t>
      </w:r>
    </w:p>
    <w:p>
      <w:pPr>
        <w:shd w:val="clear" w:color="auto" w:fill="FFFFFF"/>
        <w:snapToGrid w:val="0"/>
        <w:spacing w:line="500" w:lineRule="exact"/>
        <w:ind w:firstLine="480" w:firstLineChars="200"/>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十一、施工地点</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南通市总工会。</w:t>
      </w:r>
    </w:p>
    <w:p>
      <w:pPr>
        <w:snapToGrid w:val="0"/>
        <w:spacing w:before="120" w:beforeLines="50" w:after="120" w:afterLines="50" w:line="5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十二、</w:t>
      </w:r>
      <w:r>
        <w:rPr>
          <w:rFonts w:hint="eastAsia" w:ascii="宋体" w:hAnsi="宋体" w:cs="宋体"/>
          <w:color w:val="000000" w:themeColor="text1"/>
          <w:kern w:val="0"/>
          <w:sz w:val="24"/>
          <w:szCs w:val="24"/>
          <w14:textFill>
            <w14:solidFill>
              <w14:schemeClr w14:val="tx1"/>
            </w14:solidFill>
          </w14:textFill>
        </w:rPr>
        <w:t>完工时间：中标通知书发出5天内签订合同，合同签订之日起50天内完成整个项目的实施。</w:t>
      </w:r>
    </w:p>
    <w:p>
      <w:pPr>
        <w:snapToGrid w:val="0"/>
        <w:spacing w:line="500" w:lineRule="exact"/>
        <w:ind w:firstLine="480"/>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十三、付款方式：</w:t>
      </w:r>
      <w:r>
        <w:rPr>
          <w:rFonts w:hint="eastAsia" w:asciiTheme="minorEastAsia" w:hAnsiTheme="minorEastAsia"/>
          <w:color w:val="000000" w:themeColor="text1"/>
          <w:sz w:val="24"/>
          <w:szCs w:val="24"/>
          <w14:textFill>
            <w14:solidFill>
              <w14:schemeClr w14:val="tx1"/>
            </w14:solidFill>
          </w14:textFill>
        </w:rPr>
        <w:t>项目完成后甲方按合同规定方式支付款项。</w:t>
      </w:r>
    </w:p>
    <w:p>
      <w:pPr>
        <w:snapToGrid w:val="0"/>
        <w:spacing w:before="120" w:beforeLines="50" w:after="120" w:afterLines="50" w:line="500" w:lineRule="exact"/>
        <w:ind w:firstLine="480" w:firstLineChars="200"/>
        <w:rPr>
          <w:rFonts w:hint="eastAsia" w:ascii="宋体" w:hAnsi="宋体"/>
          <w:color w:val="000000" w:themeColor="text1"/>
          <w:sz w:val="24"/>
          <w14:textFill>
            <w14:solidFill>
              <w14:schemeClr w14:val="tx1"/>
            </w14:solidFill>
          </w14:textFill>
        </w:rPr>
      </w:pPr>
      <w:r>
        <w:rPr>
          <w:rFonts w:ascii="宋体"/>
          <w:color w:val="000000" w:themeColor="text1"/>
          <w:sz w:val="24"/>
          <w:szCs w:val="24"/>
          <w14:textFill>
            <w14:solidFill>
              <w14:schemeClr w14:val="tx1"/>
            </w14:solidFill>
          </w14:textFill>
        </w:rPr>
        <w:t>十</w:t>
      </w:r>
      <w:r>
        <w:rPr>
          <w:rFonts w:hint="eastAsia" w:ascii="宋体"/>
          <w:color w:val="000000" w:themeColor="text1"/>
          <w:sz w:val="24"/>
          <w:szCs w:val="24"/>
          <w14:textFill>
            <w14:solidFill>
              <w14:schemeClr w14:val="tx1"/>
            </w14:solidFill>
          </w14:textFill>
        </w:rPr>
        <w:t>四、</w:t>
      </w:r>
      <w:r>
        <w:rPr>
          <w:rFonts w:hint="eastAsia" w:ascii="宋体" w:hAnsi="宋体"/>
          <w:color w:val="000000" w:themeColor="text1"/>
          <w:sz w:val="24"/>
          <w14:textFill>
            <w14:solidFill>
              <w14:schemeClr w14:val="tx1"/>
            </w14:solidFill>
          </w14:textFill>
        </w:rPr>
        <w:t>中标单位中标后向代理公司支付招标代理服务费，招标代理服务费为2000元。</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十五、磋商保证金：</w:t>
      </w:r>
      <w:r>
        <w:rPr>
          <w:rFonts w:hint="eastAsia" w:ascii="宋体"/>
          <w:color w:val="000000" w:themeColor="text1"/>
          <w:sz w:val="24"/>
          <w:szCs w:val="24"/>
          <w14:textFill>
            <w14:solidFill>
              <w14:schemeClr w14:val="tx1"/>
            </w14:solidFill>
          </w14:textFill>
        </w:rPr>
        <w:t>本项目不收投标保证金，采购文件中涉及投标保证金的事项，均按免收投标保证金执行。</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十六、</w:t>
      </w:r>
      <w:bookmarkStart w:id="1" w:name="_Toc517717026"/>
      <w:r>
        <w:rPr>
          <w:rFonts w:ascii="宋体" w:hAnsi="宋体"/>
          <w:color w:val="000000" w:themeColor="text1"/>
          <w:sz w:val="24"/>
          <w14:textFill>
            <w14:solidFill>
              <w14:schemeClr w14:val="tx1"/>
            </w14:solidFill>
          </w14:textFill>
        </w:rPr>
        <w:t>凡对本次采购提出询问，请按以下方式联系。</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1、采购人信息</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名    称：</w:t>
      </w:r>
      <w:r>
        <w:rPr>
          <w:rFonts w:hint="eastAsia" w:ascii="宋体" w:hAnsi="宋体"/>
          <w:color w:val="000000" w:themeColor="text1"/>
          <w:sz w:val="24"/>
          <w:lang w:val="zh-CN"/>
          <w14:textFill>
            <w14:solidFill>
              <w14:schemeClr w14:val="tx1"/>
            </w14:solidFill>
          </w14:textFill>
        </w:rPr>
        <w:t>南通市总工会</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地    址：</w:t>
      </w:r>
      <w:r>
        <w:rPr>
          <w:rFonts w:hint="eastAsia" w:ascii="宋体" w:hAnsi="宋体"/>
          <w:color w:val="000000" w:themeColor="text1"/>
          <w:sz w:val="24"/>
          <w14:textFill>
            <w14:solidFill>
              <w14:schemeClr w14:val="tx1"/>
            </w14:solidFill>
          </w14:textFill>
        </w:rPr>
        <w:t xml:space="preserve">南通市崇川区启瑞广场 </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联系方式：</w:t>
      </w:r>
      <w:r>
        <w:rPr>
          <w:rFonts w:hint="eastAsia" w:ascii="宋体" w:hAnsi="宋体"/>
          <w:color w:val="000000" w:themeColor="text1"/>
          <w:sz w:val="24"/>
          <w14:textFill>
            <w14:solidFill>
              <w14:schemeClr w14:val="tx1"/>
            </w14:solidFill>
          </w14:textFill>
        </w:rPr>
        <w:t>0513-59002616</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2、采购代理机构信息</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名    称：</w:t>
      </w:r>
      <w:r>
        <w:rPr>
          <w:rFonts w:hint="eastAsia" w:ascii="宋体" w:hAnsi="宋体"/>
          <w:color w:val="000000" w:themeColor="text1"/>
          <w:sz w:val="24"/>
          <w14:textFill>
            <w14:solidFill>
              <w14:schemeClr w14:val="tx1"/>
            </w14:solidFill>
          </w14:textFill>
        </w:rPr>
        <w:t>江苏省鼎诚建设工程顾问有限公司</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地    址：</w:t>
      </w:r>
      <w:r>
        <w:rPr>
          <w:rFonts w:hint="eastAsia" w:ascii="宋体" w:hAnsi="宋体"/>
          <w:color w:val="000000" w:themeColor="text1"/>
          <w:sz w:val="24"/>
          <w14:textFill>
            <w14:solidFill>
              <w14:schemeClr w14:val="tx1"/>
            </w14:solidFill>
          </w14:textFill>
        </w:rPr>
        <w:t>南通市崇川区段家坝工人业余大学2号楼3楼304室</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联系方式：</w:t>
      </w:r>
      <w:r>
        <w:rPr>
          <w:rFonts w:hint="eastAsia" w:ascii="宋体" w:hAnsi="宋体"/>
          <w:color w:val="000000" w:themeColor="text1"/>
          <w:sz w:val="24"/>
          <w14:textFill>
            <w14:solidFill>
              <w14:schemeClr w14:val="tx1"/>
            </w14:solidFill>
          </w14:textFill>
        </w:rPr>
        <w:t>13228821145</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3、项目联系方式</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项目联系人：</w:t>
      </w:r>
      <w:r>
        <w:rPr>
          <w:rFonts w:hint="eastAsia" w:ascii="宋体" w:hAnsi="宋体"/>
          <w:color w:val="000000" w:themeColor="text1"/>
          <w:sz w:val="24"/>
          <w14:textFill>
            <w14:solidFill>
              <w14:schemeClr w14:val="tx1"/>
            </w14:solidFill>
          </w14:textFill>
        </w:rPr>
        <w:t>刘悦</w:t>
      </w:r>
    </w:p>
    <w:p>
      <w:pPr>
        <w:snapToGrid w:val="0"/>
        <w:spacing w:line="5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      话：</w:t>
      </w:r>
      <w:r>
        <w:rPr>
          <w:rFonts w:hint="eastAsia" w:ascii="宋体" w:hAnsi="宋体"/>
          <w:color w:val="000000" w:themeColor="text1"/>
          <w:sz w:val="24"/>
          <w14:textFill>
            <w14:solidFill>
              <w14:schemeClr w14:val="tx1"/>
            </w14:solidFill>
          </w14:textFill>
        </w:rPr>
        <w:t>13228821145</w:t>
      </w:r>
    </w:p>
    <w:p>
      <w:pPr>
        <w:pStyle w:val="12"/>
        <w:snapToGrid w:val="0"/>
        <w:spacing w:line="500" w:lineRule="exact"/>
        <w:ind w:firstLine="480" w:firstLineChars="200"/>
        <w:rPr>
          <w:color w:val="000000" w:themeColor="text1"/>
          <w:highlight w:val="yellow"/>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ind w:firstLine="0"/>
        <w:jc w:val="righ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南通市总工会</w:t>
      </w:r>
    </w:p>
    <w:p>
      <w:pPr>
        <w:pStyle w:val="12"/>
        <w:ind w:firstLine="0"/>
        <w:jc w:val="righ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江苏省鼎诚建设工程顾问有限公司</w:t>
      </w:r>
    </w:p>
    <w:p>
      <w:pPr>
        <w:pStyle w:val="12"/>
        <w:ind w:firstLine="0"/>
        <w:jc w:val="righ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2025年08月11日</w:t>
      </w:r>
    </w:p>
    <w:p>
      <w:pPr>
        <w:pStyle w:val="2"/>
        <w:spacing w:before="240" w:after="240" w:line="360"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240" w:after="240" w:line="360" w:lineRule="auto"/>
        <w:ind w:firstLine="2650" w:firstLineChars="600"/>
        <w:rPr>
          <w:color w:val="000000" w:themeColor="text1"/>
          <w14:textFill>
            <w14:solidFill>
              <w14:schemeClr w14:val="tx1"/>
            </w14:solidFill>
          </w14:textFill>
        </w:rPr>
      </w:pPr>
      <w:r>
        <w:rPr>
          <w:rFonts w:hint="eastAsia"/>
          <w:color w:val="000000" w:themeColor="text1"/>
          <w14:textFill>
            <w14:solidFill>
              <w14:schemeClr w14:val="tx1"/>
            </w14:solidFill>
          </w14:textFill>
        </w:rPr>
        <w:t>第二章 磋商供应商须知</w:t>
      </w:r>
      <w:bookmarkEnd w:id="1"/>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一、招标文件由招标人解释</w:t>
      </w:r>
    </w:p>
    <w:p>
      <w:pPr>
        <w:snapToGrid w:val="0"/>
        <w:spacing w:line="500" w:lineRule="exact"/>
        <w:ind w:firstLine="480" w:firstLineChars="200"/>
        <w:rPr>
          <w:rFonts w:ascii="宋体"/>
          <w:b/>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、磋商供应商应仔细检查招标文件的所有内容，如有资格要求和技术参数含有倾向性或排他性等表述的，应在发布招标公告和招标文件后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日内以书面形式提出询问或疑问，未在规定的</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日内提出询问或疑问的，视同磋商供应商理解并接受本招标文件所有内容，并由此引起的投标损失自负。磋商供应商不得在招标结束后针对招标文件所有内容提出质疑事项。</w:t>
      </w:r>
      <w:r>
        <w:rPr>
          <w:rFonts w:hint="eastAsia" w:ascii="宋体" w:hAnsi="宋体"/>
          <w:b/>
          <w:color w:val="000000" w:themeColor="text1"/>
          <w:sz w:val="24"/>
          <w:szCs w:val="24"/>
          <w14:textFill>
            <w14:solidFill>
              <w14:schemeClr w14:val="tx1"/>
            </w14:solidFill>
          </w14:textFill>
        </w:rPr>
        <w:t>非书面形式的不作为日后质疑提出的依据。</w:t>
      </w:r>
    </w:p>
    <w:p>
      <w:pPr>
        <w:snapToGrid w:val="0"/>
        <w:spacing w:line="500" w:lineRule="exact"/>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磋商供应商应认真审阅招标文件中所有的事项、格式、条款和规范要求等，如果磋商供应商没有按照招标文件要求提交投标文件，或者投标文件没有对招标文件做出实质性响应，其投标将被拒绝，磋商供应商自行承担责任。</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二、招标文件的澄清、修改、答疑</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、招标人有权对发出的招标文件进行必要的澄清或修改。</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、招标人可视情取消、延长相关时间，不负责解释。</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、招标人对招标文件的澄清、修改将构成招标文件的一部分，对磋商供应商具有约束力。</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、磋商供应商由于对招标文件的任何推论和误解以及招标人对有关问题的口头解释所造成的后果，均由磋商供应商自负。</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、招标人或采购单位视情组织答疑会。</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三、磋商报价</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、磋商结束后，供应商就所有内容进行最后报价。</w:t>
      </w:r>
      <w:r>
        <w:rPr>
          <w:rFonts w:hint="eastAsia" w:ascii="宋体" w:hAnsi="宋体" w:cs="宋体"/>
          <w:color w:val="000000" w:themeColor="text1"/>
          <w:sz w:val="24"/>
          <w:szCs w:val="24"/>
          <w14:textFill>
            <w14:solidFill>
              <w14:schemeClr w14:val="tx1"/>
            </w14:solidFill>
          </w14:textFill>
        </w:rPr>
        <w:t>除非在磋商中磋商小组对采购单位需求内容作了调整增加，或对采购内容作了实质性变更，否则采购单位不接受供应商高于自己前一轮的磋商报价。</w:t>
      </w:r>
    </w:p>
    <w:p>
      <w:pPr>
        <w:snapToGrid w:val="0"/>
        <w:spacing w:before="120" w:beforeLines="50" w:after="120" w:afterLines="50" w:line="500" w:lineRule="exact"/>
        <w:ind w:firstLine="470" w:firstLineChars="196"/>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、最后报价应包括本项目的全部费用</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含一切必须的辅助材料费用</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及相关服务费等。</w:t>
      </w:r>
      <w:r>
        <w:rPr>
          <w:rFonts w:ascii="宋体" w:hAnsi="宋体"/>
          <w:color w:val="000000" w:themeColor="text1"/>
          <w:sz w:val="24"/>
          <w:szCs w:val="24"/>
          <w14:textFill>
            <w14:solidFill>
              <w14:schemeClr w14:val="tx1"/>
            </w14:solidFill>
          </w14:textFill>
        </w:rPr>
        <w:t xml:space="preserve"> </w:t>
      </w:r>
    </w:p>
    <w:p>
      <w:pPr>
        <w:snapToGrid w:val="0"/>
        <w:spacing w:before="120" w:beforeLines="50" w:after="120" w:afterLines="50" w:line="500" w:lineRule="exact"/>
        <w:ind w:firstLine="470" w:firstLineChars="196"/>
        <w:rPr>
          <w:rFonts w:asci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、最后报价将作为磋商小组评定成交供应商的组成依据。</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w:t>
      </w:r>
      <w:r>
        <w:rPr>
          <w:rFonts w:hint="eastAsia" w:ascii="宋体" w:hAnsi="宋体" w:cs="宋体"/>
          <w:b/>
          <w:bCs/>
          <w:snapToGrid w:val="0"/>
          <w:color w:val="000000" w:themeColor="text1"/>
          <w:kern w:val="0"/>
          <w:sz w:val="24"/>
          <w14:textFill>
            <w14:solidFill>
              <w14:schemeClr w14:val="tx1"/>
            </w14:solidFill>
          </w14:textFill>
        </w:rPr>
        <w:t>磋商文件的组成：</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ascii="宋体" w:hAnsi="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14:textFill>
            <w14:solidFill>
              <w14:schemeClr w14:val="tx1"/>
            </w14:solidFill>
          </w14:textFill>
        </w:rPr>
        <w:t>、磋商人应当按照采购文件要求编制磋商文件，磋商文件应对采购文件提出的实质性要求和条件做出响应。</w:t>
      </w:r>
    </w:p>
    <w:p>
      <w:pPr>
        <w:shd w:val="clear" w:color="auto" w:fill="FFFFFF"/>
        <w:adjustRightInd w:val="0"/>
        <w:snapToGrid w:val="0"/>
        <w:spacing w:line="500" w:lineRule="exact"/>
        <w:ind w:firstLine="488" w:firstLineChars="200"/>
        <w:rPr>
          <w:rFonts w:ascii="宋体" w:cs="宋体"/>
          <w:snapToGrid w:val="0"/>
          <w:color w:val="000000" w:themeColor="text1"/>
          <w:spacing w:val="2"/>
          <w:kern w:val="0"/>
          <w:sz w:val="24"/>
          <w14:textFill>
            <w14:solidFill>
              <w14:schemeClr w14:val="tx1"/>
            </w14:solidFill>
          </w14:textFill>
        </w:rPr>
      </w:pPr>
      <w:r>
        <w:rPr>
          <w:rFonts w:ascii="宋体" w:hAnsi="宋体" w:cs="宋体"/>
          <w:snapToGrid w:val="0"/>
          <w:color w:val="000000" w:themeColor="text1"/>
          <w:spacing w:val="2"/>
          <w:kern w:val="0"/>
          <w:sz w:val="24"/>
          <w14:textFill>
            <w14:solidFill>
              <w14:schemeClr w14:val="tx1"/>
            </w14:solidFill>
          </w14:textFill>
        </w:rPr>
        <w:t>2</w:t>
      </w:r>
      <w:r>
        <w:rPr>
          <w:rFonts w:hint="eastAsia" w:ascii="宋体" w:hAnsi="宋体" w:cs="宋体"/>
          <w:snapToGrid w:val="0"/>
          <w:color w:val="000000" w:themeColor="text1"/>
          <w:spacing w:val="2"/>
          <w:kern w:val="0"/>
          <w:sz w:val="24"/>
          <w14:textFill>
            <w14:solidFill>
              <w14:schemeClr w14:val="tx1"/>
            </w14:solidFill>
          </w14:textFill>
        </w:rPr>
        <w:t>、磋商文件、采购人与磋商人之间与磋商有关的所有往来通知、函件等文书均应使用中文，磋商人随磋商文件提供的证明文件和资料可以使用其它语言，但必须附中文译文。除技术规范另有规定外，磋商文件使用的度量衡单位均采用中华人民共和国法定计量单位。</w:t>
      </w:r>
    </w:p>
    <w:p>
      <w:pPr>
        <w:shd w:val="clear" w:color="auto" w:fill="FFFFFF"/>
        <w:adjustRightInd w:val="0"/>
        <w:snapToGrid w:val="0"/>
        <w:spacing w:line="500" w:lineRule="exact"/>
        <w:ind w:firstLine="488" w:firstLineChars="200"/>
        <w:rPr>
          <w:rFonts w:ascii="宋体" w:cs="宋体"/>
          <w:snapToGrid w:val="0"/>
          <w:color w:val="000000" w:themeColor="text1"/>
          <w:spacing w:val="2"/>
          <w:kern w:val="0"/>
          <w:sz w:val="24"/>
          <w14:textFill>
            <w14:solidFill>
              <w14:schemeClr w14:val="tx1"/>
            </w14:solidFill>
          </w14:textFill>
        </w:rPr>
      </w:pPr>
      <w:r>
        <w:rPr>
          <w:rFonts w:ascii="宋体" w:hAnsi="宋体" w:cs="宋体"/>
          <w:snapToGrid w:val="0"/>
          <w:color w:val="000000" w:themeColor="text1"/>
          <w:spacing w:val="2"/>
          <w:kern w:val="0"/>
          <w:sz w:val="24"/>
          <w14:textFill>
            <w14:solidFill>
              <w14:schemeClr w14:val="tx1"/>
            </w14:solidFill>
          </w14:textFill>
        </w:rPr>
        <w:t>3</w:t>
      </w:r>
      <w:r>
        <w:rPr>
          <w:rFonts w:hint="eastAsia" w:ascii="宋体" w:hAnsi="宋体" w:cs="宋体"/>
          <w:snapToGrid w:val="0"/>
          <w:color w:val="000000" w:themeColor="text1"/>
          <w:spacing w:val="2"/>
          <w:kern w:val="0"/>
          <w:sz w:val="24"/>
          <w14:textFill>
            <w14:solidFill>
              <w14:schemeClr w14:val="tx1"/>
            </w14:solidFill>
          </w14:textFill>
        </w:rPr>
        <w:t>、磋商人的磋商文件应包括由资格审查资料原件、资格审查资料、技术商务标文件、报价文件四部分组成，具体应包括以下内容：</w:t>
      </w:r>
    </w:p>
    <w:p>
      <w:pPr>
        <w:shd w:val="clear" w:color="auto" w:fill="FFFFFF"/>
        <w:adjustRightInd w:val="0"/>
        <w:snapToGrid w:val="0"/>
        <w:spacing w:line="500" w:lineRule="exact"/>
        <w:ind w:firstLine="490" w:firstLineChars="200"/>
        <w:rPr>
          <w:rFonts w:ascii="宋体" w:cs="宋体"/>
          <w:b/>
          <w:bCs/>
          <w:snapToGrid w:val="0"/>
          <w:color w:val="000000" w:themeColor="text1"/>
          <w:spacing w:val="2"/>
          <w:kern w:val="0"/>
          <w:sz w:val="24"/>
          <w14:textFill>
            <w14:solidFill>
              <w14:schemeClr w14:val="tx1"/>
            </w14:solidFill>
          </w14:textFill>
        </w:rPr>
      </w:pPr>
      <w:r>
        <w:rPr>
          <w:rFonts w:ascii="宋体" w:hAnsi="宋体" w:cs="宋体"/>
          <w:b/>
          <w:bCs/>
          <w:snapToGrid w:val="0"/>
          <w:color w:val="000000" w:themeColor="text1"/>
          <w:spacing w:val="2"/>
          <w:kern w:val="0"/>
          <w:sz w:val="24"/>
          <w14:textFill>
            <w14:solidFill>
              <w14:schemeClr w14:val="tx1"/>
            </w14:solidFill>
          </w14:textFill>
        </w:rPr>
        <w:t>3.1</w:t>
      </w:r>
      <w:r>
        <w:rPr>
          <w:rFonts w:hint="eastAsia" w:ascii="宋体" w:hAnsi="宋体" w:cs="宋体"/>
          <w:b/>
          <w:bCs/>
          <w:snapToGrid w:val="0"/>
          <w:color w:val="000000" w:themeColor="text1"/>
          <w:spacing w:val="2"/>
          <w:kern w:val="0"/>
          <w:sz w:val="24"/>
          <w14:textFill>
            <w14:solidFill>
              <w14:schemeClr w14:val="tx1"/>
            </w14:solidFill>
          </w14:textFill>
        </w:rPr>
        <w:t>资格审查资料包（提供正本壹份、副本贰份，单独密封在一个封袋中，在封袋上加盖磋商供应商和法定代表人</w:t>
      </w:r>
      <w:r>
        <w:rPr>
          <w:rFonts w:ascii="宋体" w:hAnsi="宋体" w:cs="宋体"/>
          <w:b/>
          <w:bCs/>
          <w:snapToGrid w:val="0"/>
          <w:color w:val="000000" w:themeColor="text1"/>
          <w:spacing w:val="2"/>
          <w:kern w:val="0"/>
          <w:sz w:val="24"/>
          <w14:textFill>
            <w14:solidFill>
              <w14:schemeClr w14:val="tx1"/>
            </w14:solidFill>
          </w14:textFill>
        </w:rPr>
        <w:t>(</w:t>
      </w:r>
      <w:r>
        <w:rPr>
          <w:rFonts w:hint="eastAsia" w:ascii="宋体" w:hAnsi="宋体" w:cs="宋体"/>
          <w:b/>
          <w:bCs/>
          <w:snapToGrid w:val="0"/>
          <w:color w:val="000000" w:themeColor="text1"/>
          <w:spacing w:val="2"/>
          <w:kern w:val="0"/>
          <w:sz w:val="24"/>
          <w14:textFill>
            <w14:solidFill>
              <w14:schemeClr w14:val="tx1"/>
            </w14:solidFill>
          </w14:textFill>
        </w:rPr>
        <w:t>或授权委托人</w:t>
      </w:r>
      <w:r>
        <w:rPr>
          <w:rFonts w:ascii="宋体" w:hAnsi="宋体" w:cs="宋体"/>
          <w:b/>
          <w:bCs/>
          <w:snapToGrid w:val="0"/>
          <w:color w:val="000000" w:themeColor="text1"/>
          <w:spacing w:val="2"/>
          <w:kern w:val="0"/>
          <w:sz w:val="24"/>
          <w14:textFill>
            <w14:solidFill>
              <w14:schemeClr w14:val="tx1"/>
            </w14:solidFill>
          </w14:textFill>
        </w:rPr>
        <w:t>)</w:t>
      </w:r>
      <w:r>
        <w:rPr>
          <w:rFonts w:hint="eastAsia" w:ascii="宋体" w:hAnsi="宋体" w:cs="宋体"/>
          <w:b/>
          <w:bCs/>
          <w:snapToGrid w:val="0"/>
          <w:color w:val="000000" w:themeColor="text1"/>
          <w:spacing w:val="2"/>
          <w:kern w:val="0"/>
          <w:sz w:val="24"/>
          <w14:textFill>
            <w14:solidFill>
              <w14:schemeClr w14:val="tx1"/>
            </w14:solidFill>
          </w14:textFill>
        </w:rPr>
        <w:t>印章或签字）：</w:t>
      </w:r>
    </w:p>
    <w:p>
      <w:pPr>
        <w:shd w:val="clear" w:color="auto" w:fill="FFFFFF"/>
        <w:adjustRightInd w:val="0"/>
        <w:snapToGrid w:val="0"/>
        <w:spacing w:line="500" w:lineRule="exact"/>
        <w:ind w:firstLine="480" w:firstLineChars="200"/>
        <w:rPr>
          <w:rFonts w:ascii="宋体" w:cs="宋体"/>
          <w:b/>
          <w:bCs/>
          <w:snapToGrid w:val="0"/>
          <w:color w:val="000000" w:themeColor="text1"/>
          <w:spacing w:val="2"/>
          <w:kern w:val="0"/>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）投标承诺书原件（格式见附件）；</w:t>
      </w:r>
    </w:p>
    <w:p>
      <w:pPr>
        <w:shd w:val="clear" w:color="auto" w:fill="FFFFFF"/>
        <w:adjustRightInd w:val="0"/>
        <w:snapToGrid w:val="0"/>
        <w:spacing w:line="500" w:lineRule="exact"/>
        <w:ind w:firstLine="488" w:firstLineChars="200"/>
        <w:rPr>
          <w:rFonts w:hint="eastAsia" w:ascii="宋体" w:hAnsi="宋体" w:cs="宋体"/>
          <w:snapToGrid w:val="0"/>
          <w:color w:val="000000" w:themeColor="text1"/>
          <w:spacing w:val="2"/>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w:t>
      </w:r>
      <w:r>
        <w:rPr>
          <w:rFonts w:ascii="宋体" w:hAnsi="宋体" w:cs="宋体"/>
          <w:snapToGrid w:val="0"/>
          <w:color w:val="000000" w:themeColor="text1"/>
          <w:spacing w:val="2"/>
          <w:kern w:val="0"/>
          <w:sz w:val="24"/>
          <w14:textFill>
            <w14:solidFill>
              <w14:schemeClr w14:val="tx1"/>
            </w14:solidFill>
          </w14:textFill>
        </w:rPr>
        <w:t>2</w:t>
      </w:r>
      <w:r>
        <w:rPr>
          <w:rFonts w:hint="eastAsia" w:ascii="宋体" w:hAnsi="宋体" w:cs="宋体"/>
          <w:snapToGrid w:val="0"/>
          <w:color w:val="000000" w:themeColor="text1"/>
          <w:spacing w:val="2"/>
          <w:kern w:val="0"/>
          <w:sz w:val="24"/>
          <w14:textFill>
            <w14:solidFill>
              <w14:schemeClr w14:val="tx1"/>
            </w14:solidFill>
          </w14:textFill>
        </w:rPr>
        <w:t>）企业营业执照复印件（加盖投标单位公章）；</w:t>
      </w:r>
    </w:p>
    <w:p>
      <w:pPr>
        <w:pStyle w:val="33"/>
        <w:spacing w:line="500" w:lineRule="exact"/>
        <w:ind w:left="456" w:firstLine="0" w:firstLineChars="0"/>
        <w:rPr>
          <w:rFonts w:hint="eastAsia" w:hAnsi="宋体"/>
          <w:color w:val="000000" w:themeColor="text1"/>
          <w:spacing w:val="-6"/>
          <w:sz w:val="24"/>
          <w14:textFill>
            <w14:solidFill>
              <w14:schemeClr w14:val="tx1"/>
            </w14:solidFill>
          </w14:textFill>
        </w:rPr>
      </w:pPr>
      <w:r>
        <w:rPr>
          <w:rFonts w:hint="eastAsia" w:hAnsi="宋体"/>
          <w:color w:val="000000" w:themeColor="text1"/>
          <w:spacing w:val="-6"/>
          <w:sz w:val="24"/>
          <w14:textFill>
            <w14:solidFill>
              <w14:schemeClr w14:val="tx1"/>
            </w14:solidFill>
          </w14:textFill>
        </w:rPr>
        <w:t>（3）磋商响应供应商须提供参与本次项目政府采购活动前三年内在经营活动中没有重大违法记录的书面《无重大违法记录声明函》（须加盖公章）。</w:t>
      </w:r>
    </w:p>
    <w:p>
      <w:pPr>
        <w:shd w:val="clear" w:color="auto" w:fill="FFFFFF"/>
        <w:adjustRightInd w:val="0"/>
        <w:snapToGrid w:val="0"/>
        <w:spacing w:line="500" w:lineRule="exact"/>
        <w:ind w:firstLine="488" w:firstLineChars="200"/>
        <w:rPr>
          <w:rFonts w:hint="eastAsia" w:ascii="宋体" w:hAnsi="宋体" w:cs="宋体"/>
          <w:snapToGrid w:val="0"/>
          <w:color w:val="000000" w:themeColor="text1"/>
          <w:spacing w:val="2"/>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以上（1）-（3）所有资料提供原件，装订在资格审查资料原件包中；</w:t>
      </w:r>
    </w:p>
    <w:p>
      <w:pPr>
        <w:shd w:val="clear" w:color="auto" w:fill="FFFFFF"/>
        <w:adjustRightInd w:val="0"/>
        <w:snapToGrid w:val="0"/>
        <w:spacing w:line="500" w:lineRule="exact"/>
        <w:ind w:firstLine="488" w:firstLineChars="200"/>
        <w:rPr>
          <w:rFonts w:hint="eastAsia" w:ascii="宋体" w:hAnsi="宋体" w:cs="宋体"/>
          <w:snapToGrid w:val="0"/>
          <w:color w:val="000000" w:themeColor="text1"/>
          <w:spacing w:val="2"/>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上述(1)-(3)中任何一条不符合要求的，则资格审查不通过。</w:t>
      </w:r>
    </w:p>
    <w:p>
      <w:pPr>
        <w:snapToGrid w:val="0"/>
        <w:spacing w:line="500" w:lineRule="exact"/>
        <w:ind w:firstLine="435"/>
        <w:rPr>
          <w:rFonts w:asci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3.2</w:t>
      </w:r>
      <w:r>
        <w:rPr>
          <w:rFonts w:hint="eastAsia" w:ascii="宋体" w:hAnsi="宋体"/>
          <w:b/>
          <w:bCs/>
          <w:color w:val="000000" w:themeColor="text1"/>
          <w:sz w:val="24"/>
          <w14:textFill>
            <w14:solidFill>
              <w14:schemeClr w14:val="tx1"/>
            </w14:solidFill>
          </w14:textFill>
        </w:rPr>
        <w:t>资格审查资料原件包（原件单独密封在一个封袋中，以便在开标时核查，在封袋上加盖磋商供应商和法定代表人</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或授权委托人</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印章或签字）</w:t>
      </w:r>
      <w:r>
        <w:rPr>
          <w:rFonts w:hint="eastAsia" w:ascii="宋体" w:hAnsi="宋体"/>
          <w:color w:val="000000" w:themeColor="text1"/>
          <w:sz w:val="24"/>
          <w14:textFill>
            <w14:solidFill>
              <w14:schemeClr w14:val="tx1"/>
            </w14:solidFill>
          </w14:textFill>
        </w:rPr>
        <w:t>：</w:t>
      </w:r>
    </w:p>
    <w:p>
      <w:pPr>
        <w:widowControl/>
        <w:spacing w:line="500" w:lineRule="exact"/>
        <w:ind w:firstLine="470" w:firstLineChars="196"/>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上述资格审查资料部分的所有原件。</w:t>
      </w:r>
    </w:p>
    <w:p>
      <w:pPr>
        <w:shd w:val="clear" w:color="auto" w:fill="FFFFFF"/>
        <w:adjustRightInd w:val="0"/>
        <w:snapToGrid w:val="0"/>
        <w:spacing w:line="500" w:lineRule="exact"/>
        <w:ind w:firstLine="482" w:firstLineChars="200"/>
        <w:jc w:val="left"/>
        <w:rPr>
          <w:rFonts w:ascii="宋体" w:cs="宋体"/>
          <w:snapToGrid w:val="0"/>
          <w:color w:val="000000" w:themeColor="text1"/>
          <w:kern w:val="0"/>
          <w:sz w:val="24"/>
          <w14:textFill>
            <w14:solidFill>
              <w14:schemeClr w14:val="tx1"/>
            </w14:solidFill>
          </w14:textFill>
        </w:rPr>
      </w:pPr>
      <w:r>
        <w:rPr>
          <w:b/>
          <w:color w:val="000000" w:themeColor="text1"/>
          <w:sz w:val="24"/>
          <w:szCs w:val="24"/>
          <w14:textFill>
            <w14:solidFill>
              <w14:schemeClr w14:val="tx1"/>
            </w14:solidFill>
          </w14:textFill>
        </w:rPr>
        <w:t>3.3</w:t>
      </w:r>
      <w:r>
        <w:rPr>
          <w:rFonts w:hint="eastAsia"/>
          <w:b/>
          <w:color w:val="000000" w:themeColor="text1"/>
          <w:sz w:val="24"/>
          <w:szCs w:val="24"/>
          <w14:textFill>
            <w14:solidFill>
              <w14:schemeClr w14:val="tx1"/>
            </w14:solidFill>
          </w14:textFill>
        </w:rPr>
        <w:t>报价文件包括但不限于以下内容</w:t>
      </w:r>
      <w:r>
        <w:rPr>
          <w:rFonts w:hint="eastAsia" w:ascii="宋体" w:hAnsi="宋体" w:cs="宋体"/>
          <w:b/>
          <w:bCs/>
          <w:snapToGrid w:val="0"/>
          <w:color w:val="000000" w:themeColor="text1"/>
          <w:spacing w:val="2"/>
          <w:kern w:val="0"/>
          <w:sz w:val="24"/>
          <w14:textFill>
            <w14:solidFill>
              <w14:schemeClr w14:val="tx1"/>
            </w14:solidFill>
          </w14:textFill>
        </w:rPr>
        <w:t>（提供</w:t>
      </w:r>
      <w:r>
        <w:rPr>
          <w:rFonts w:hint="eastAsia" w:ascii="宋体" w:hAnsi="宋体"/>
          <w:b/>
          <w:bCs/>
          <w:color w:val="000000" w:themeColor="text1"/>
          <w:sz w:val="24"/>
          <w14:textFill>
            <w14:solidFill>
              <w14:schemeClr w14:val="tx1"/>
            </w14:solidFill>
          </w14:textFill>
        </w:rPr>
        <w:t>正本壹份、副本</w:t>
      </w:r>
      <w:r>
        <w:rPr>
          <w:rFonts w:hint="eastAsia" w:ascii="宋体" w:hAnsi="宋体" w:cs="宋体"/>
          <w:b/>
          <w:bCs/>
          <w:snapToGrid w:val="0"/>
          <w:color w:val="000000" w:themeColor="text1"/>
          <w:spacing w:val="2"/>
          <w:kern w:val="0"/>
          <w:sz w:val="24"/>
          <w14:textFill>
            <w14:solidFill>
              <w14:schemeClr w14:val="tx1"/>
            </w14:solidFill>
          </w14:textFill>
        </w:rPr>
        <w:t>贰份，单独密封在一个封袋中，在封袋上加盖磋商供应商和法定代表人</w:t>
      </w:r>
      <w:r>
        <w:rPr>
          <w:rFonts w:ascii="宋体" w:hAnsi="宋体" w:cs="宋体"/>
          <w:b/>
          <w:bCs/>
          <w:snapToGrid w:val="0"/>
          <w:color w:val="000000" w:themeColor="text1"/>
          <w:spacing w:val="2"/>
          <w:kern w:val="0"/>
          <w:sz w:val="24"/>
          <w14:textFill>
            <w14:solidFill>
              <w14:schemeClr w14:val="tx1"/>
            </w14:solidFill>
          </w14:textFill>
        </w:rPr>
        <w:t>(</w:t>
      </w:r>
      <w:r>
        <w:rPr>
          <w:rFonts w:hint="eastAsia" w:ascii="宋体" w:hAnsi="宋体" w:cs="宋体"/>
          <w:b/>
          <w:bCs/>
          <w:snapToGrid w:val="0"/>
          <w:color w:val="000000" w:themeColor="text1"/>
          <w:spacing w:val="2"/>
          <w:kern w:val="0"/>
          <w:sz w:val="24"/>
          <w14:textFill>
            <w14:solidFill>
              <w14:schemeClr w14:val="tx1"/>
            </w14:solidFill>
          </w14:textFill>
        </w:rPr>
        <w:t>或授权委托人</w:t>
      </w:r>
      <w:r>
        <w:rPr>
          <w:rFonts w:ascii="宋体" w:hAnsi="宋体" w:cs="宋体"/>
          <w:b/>
          <w:bCs/>
          <w:snapToGrid w:val="0"/>
          <w:color w:val="000000" w:themeColor="text1"/>
          <w:spacing w:val="2"/>
          <w:kern w:val="0"/>
          <w:sz w:val="24"/>
          <w14:textFill>
            <w14:solidFill>
              <w14:schemeClr w14:val="tx1"/>
            </w14:solidFill>
          </w14:textFill>
        </w:rPr>
        <w:t>)</w:t>
      </w:r>
      <w:r>
        <w:rPr>
          <w:rFonts w:hint="eastAsia" w:ascii="宋体" w:hAnsi="宋体" w:cs="宋体"/>
          <w:b/>
          <w:bCs/>
          <w:snapToGrid w:val="0"/>
          <w:color w:val="000000" w:themeColor="text1"/>
          <w:spacing w:val="2"/>
          <w:kern w:val="0"/>
          <w:sz w:val="24"/>
          <w14:textFill>
            <w14:solidFill>
              <w14:schemeClr w14:val="tx1"/>
            </w14:solidFill>
          </w14:textFill>
        </w:rPr>
        <w:t>印章）</w:t>
      </w:r>
    </w:p>
    <w:p>
      <w:pPr>
        <w:shd w:val="clear" w:color="auto" w:fill="FFFFFF"/>
        <w:adjustRightInd w:val="0"/>
        <w:snapToGrid w:val="0"/>
        <w:spacing w:line="500" w:lineRule="exact"/>
        <w:ind w:firstLine="600" w:firstLineChars="250"/>
        <w:jc w:val="left"/>
        <w:rPr>
          <w:rFonts w:ascii="宋体" w:cs="宋体"/>
          <w:snapToGrid w:val="0"/>
          <w:color w:val="000000" w:themeColor="text1"/>
          <w:spacing w:val="-10"/>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spacing w:val="-10"/>
          <w:kern w:val="0"/>
          <w:sz w:val="24"/>
          <w14:textFill>
            <w14:solidFill>
              <w14:schemeClr w14:val="tx1"/>
            </w14:solidFill>
          </w14:textFill>
        </w:rPr>
        <w:t>法人授权委托书</w:t>
      </w:r>
    </w:p>
    <w:p>
      <w:pPr>
        <w:shd w:val="clear" w:color="auto" w:fill="FFFFFF"/>
        <w:adjustRightInd w:val="0"/>
        <w:snapToGrid w:val="0"/>
        <w:spacing w:line="500" w:lineRule="exact"/>
        <w:ind w:firstLine="600" w:firstLineChars="250"/>
        <w:jc w:val="left"/>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2</w:t>
      </w:r>
      <w:r>
        <w:rPr>
          <w:rFonts w:hint="eastAsia" w:ascii="宋体" w:hAnsi="宋体" w:cs="宋体"/>
          <w:snapToGrid w:val="0"/>
          <w:color w:val="000000" w:themeColor="text1"/>
          <w:kern w:val="0"/>
          <w:sz w:val="24"/>
          <w14:textFill>
            <w14:solidFill>
              <w14:schemeClr w14:val="tx1"/>
            </w14:solidFill>
          </w14:textFill>
        </w:rPr>
        <w:t>）磋商报价表</w:t>
      </w:r>
    </w:p>
    <w:p>
      <w:pPr>
        <w:shd w:val="clear" w:color="auto" w:fill="FFFFFF"/>
        <w:adjustRightInd w:val="0"/>
        <w:snapToGrid w:val="0"/>
        <w:spacing w:line="500" w:lineRule="exact"/>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3.4</w:t>
      </w:r>
      <w:r>
        <w:rPr>
          <w:rFonts w:hint="eastAsia"/>
          <w:b/>
          <w:color w:val="000000" w:themeColor="text1"/>
          <w:sz w:val="24"/>
          <w:szCs w:val="24"/>
          <w14:textFill>
            <w14:solidFill>
              <w14:schemeClr w14:val="tx1"/>
            </w14:solidFill>
          </w14:textFill>
        </w:rPr>
        <w:t>技术商务标文件按照招标文件第三章“采购需求”填写，包括但不限于以下内容（提供正本壹份、副本</w:t>
      </w:r>
      <w:r>
        <w:rPr>
          <w:rFonts w:hint="eastAsia" w:ascii="宋体" w:hAnsi="宋体" w:cs="宋体"/>
          <w:b/>
          <w:bCs/>
          <w:snapToGrid w:val="0"/>
          <w:color w:val="000000" w:themeColor="text1"/>
          <w:spacing w:val="2"/>
          <w:kern w:val="0"/>
          <w:sz w:val="24"/>
          <w14:textFill>
            <w14:solidFill>
              <w14:schemeClr w14:val="tx1"/>
            </w14:solidFill>
          </w14:textFill>
        </w:rPr>
        <w:t>贰份</w:t>
      </w:r>
      <w:r>
        <w:rPr>
          <w:rFonts w:hint="eastAsia"/>
          <w:b/>
          <w:color w:val="000000" w:themeColor="text1"/>
          <w:sz w:val="24"/>
          <w:szCs w:val="24"/>
          <w14:textFill>
            <w14:solidFill>
              <w14:schemeClr w14:val="tx1"/>
            </w14:solidFill>
          </w14:textFill>
        </w:rPr>
        <w:t>，单独密封在一个封袋中，在封袋上加盖磋商供应商和法定代表人(或授权委托人)印章或签字）</w:t>
      </w:r>
    </w:p>
    <w:p>
      <w:pPr>
        <w:shd w:val="clear" w:color="auto" w:fill="FFFFFF"/>
        <w:adjustRightInd w:val="0"/>
        <w:snapToGrid w:val="0"/>
        <w:spacing w:line="500" w:lineRule="exact"/>
        <w:ind w:firstLine="482" w:firstLineChars="200"/>
        <w:rPr>
          <w:rFonts w:hint="eastAsia" w:ascii="宋体" w:hAnsi="宋体"/>
          <w:b/>
          <w:bCs/>
          <w:color w:val="000000" w:themeColor="text1"/>
          <w:sz w:val="24"/>
          <w:szCs w:val="24"/>
          <w14:textFill>
            <w14:solidFill>
              <w14:schemeClr w14:val="tx1"/>
            </w14:solidFill>
          </w14:textFill>
        </w:rPr>
      </w:pPr>
    </w:p>
    <w:p>
      <w:pPr>
        <w:shd w:val="clear" w:color="auto" w:fill="FFFFFF"/>
        <w:adjustRightInd w:val="0"/>
        <w:snapToGrid w:val="0"/>
        <w:spacing w:line="500" w:lineRule="exact"/>
        <w:ind w:firstLine="482" w:firstLineChars="200"/>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技术标部分：</w:t>
      </w:r>
    </w:p>
    <w:p>
      <w:pPr>
        <w:shd w:val="clear" w:color="auto" w:fill="FFFFFF"/>
        <w:adjustRightInd w:val="0"/>
        <w:snapToGrid w:val="0"/>
        <w:spacing w:line="5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（1）投标人实力；</w:t>
      </w:r>
    </w:p>
    <w:p>
      <w:pPr>
        <w:shd w:val="clear" w:color="auto" w:fill="FFFFFF"/>
        <w:adjustRightInd w:val="0"/>
        <w:snapToGrid w:val="0"/>
        <w:spacing w:line="5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（2）设计方案文件</w:t>
      </w:r>
      <w:r>
        <w:rPr>
          <w:rFonts w:hint="eastAsia" w:ascii="宋体" w:hAnsi="宋体"/>
          <w:b/>
          <w:bCs/>
          <w:color w:val="000000" w:themeColor="text1"/>
          <w:sz w:val="24"/>
          <w:szCs w:val="24"/>
          <w14:textFill>
            <w14:solidFill>
              <w14:schemeClr w14:val="tx1"/>
            </w14:solidFill>
          </w14:textFill>
        </w:rPr>
        <w:t>；</w:t>
      </w:r>
    </w:p>
    <w:p>
      <w:pPr>
        <w:shd w:val="clear" w:color="auto" w:fill="FFFFFF"/>
        <w:adjustRightInd w:val="0"/>
        <w:snapToGrid w:val="0"/>
        <w:spacing w:line="500" w:lineRule="exact"/>
        <w:ind w:firstLine="480" w:firstLineChars="200"/>
        <w:rPr>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(3)评标办法中涉及的事项，磋商供应商认为需要提交的其他资料。</w:t>
      </w:r>
    </w:p>
    <w:p>
      <w:pPr>
        <w:snapToGrid w:val="0"/>
        <w:spacing w:line="500" w:lineRule="exact"/>
        <w:ind w:firstLine="435"/>
        <w:rPr>
          <w:rFonts w:ascii="宋体" w:cs="宋体"/>
          <w:snapToGrid w:val="0"/>
          <w:color w:val="000000" w:themeColor="text1"/>
          <w:kern w:val="0"/>
          <w:sz w:val="24"/>
          <w14:textFill>
            <w14:solidFill>
              <w14:schemeClr w14:val="tx1"/>
            </w14:solidFill>
          </w14:textFill>
        </w:rPr>
      </w:pPr>
      <w:r>
        <w:rPr>
          <w:rFonts w:hint="eastAsia"/>
          <w:b/>
          <w:bCs/>
          <w:color w:val="000000" w:themeColor="text1"/>
          <w:sz w:val="24"/>
          <w:szCs w:val="24"/>
          <w14:textFill>
            <w14:solidFill>
              <w14:schemeClr w14:val="tx1"/>
            </w14:solidFill>
          </w14:textFill>
        </w:rPr>
        <w:t>以上</w:t>
      </w:r>
      <w:r>
        <w:rPr>
          <w:rFonts w:hint="eastAsia"/>
          <w:b/>
          <w:color w:val="000000" w:themeColor="text1"/>
          <w:sz w:val="24"/>
          <w:szCs w:val="24"/>
          <w14:textFill>
            <w14:solidFill>
              <w14:schemeClr w14:val="tx1"/>
            </w14:solidFill>
          </w14:textFill>
        </w:rPr>
        <w:t>技术标</w:t>
      </w:r>
      <w:r>
        <w:rPr>
          <w:rFonts w:hint="eastAsia"/>
          <w:b/>
          <w:bCs/>
          <w:color w:val="000000" w:themeColor="text1"/>
          <w:sz w:val="24"/>
          <w:szCs w:val="24"/>
          <w14:textFill>
            <w14:solidFill>
              <w14:schemeClr w14:val="tx1"/>
            </w14:solidFill>
          </w14:textFill>
        </w:rPr>
        <w:t>涉及的证书、证明材料、合同等相关原件</w:t>
      </w:r>
      <w:r>
        <w:rPr>
          <w:rFonts w:hint="eastAsia" w:ascii="宋体" w:hAnsi="宋体"/>
          <w:b/>
          <w:bCs/>
          <w:color w:val="000000" w:themeColor="text1"/>
          <w:sz w:val="24"/>
          <w14:textFill>
            <w14:solidFill>
              <w14:schemeClr w14:val="tx1"/>
            </w14:solidFill>
          </w14:textFill>
        </w:rPr>
        <w:t>装订在资格审查资料原件包中</w:t>
      </w:r>
      <w:r>
        <w:rPr>
          <w:rFonts w:hint="eastAsia"/>
          <w:b/>
          <w:bCs/>
          <w:color w:val="000000" w:themeColor="text1"/>
          <w:sz w:val="24"/>
          <w:szCs w:val="24"/>
          <w14:textFill>
            <w14:solidFill>
              <w14:schemeClr w14:val="tx1"/>
            </w14:solidFill>
          </w14:textFill>
        </w:rPr>
        <w:t>带至开标现场。</w:t>
      </w:r>
      <w:r>
        <w:rPr>
          <w:rFonts w:hint="eastAsia" w:hAnsi="宋体"/>
          <w:b/>
          <w:color w:val="000000" w:themeColor="text1"/>
          <w:sz w:val="24"/>
          <w14:textFill>
            <w14:solidFill>
              <w14:schemeClr w14:val="tx1"/>
            </w14:solidFill>
          </w14:textFill>
        </w:rPr>
        <w:t>因投标人自身原因，在评标工作期间，不能及时、完整、有效提供相关原件以供评委会查询，由此导致不利于投标文件的评审后果由投标人承担。</w:t>
      </w:r>
    </w:p>
    <w:p>
      <w:pPr>
        <w:shd w:val="clear" w:color="auto" w:fill="FFFFFF"/>
        <w:adjustRightInd w:val="0"/>
        <w:snapToGrid w:val="0"/>
        <w:spacing w:line="500" w:lineRule="exact"/>
        <w:ind w:firstLine="482" w:firstLineChars="200"/>
        <w:jc w:val="left"/>
        <w:rPr>
          <w:rFonts w:ascii="宋体" w:cs="宋体"/>
          <w:b/>
          <w:bCs/>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五、磋商文件的份数和签署</w:t>
      </w:r>
    </w:p>
    <w:p>
      <w:pPr>
        <w:shd w:val="clear" w:color="auto" w:fill="FFFFFF"/>
        <w:adjustRightInd w:val="0"/>
        <w:snapToGrid w:val="0"/>
        <w:spacing w:line="500" w:lineRule="exact"/>
        <w:ind w:firstLine="501" w:firstLineChars="209"/>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14:textFill>
            <w14:solidFill>
              <w14:schemeClr w14:val="tx1"/>
            </w14:solidFill>
          </w14:textFill>
        </w:rPr>
        <w:t>）磋商人必须编制一份磋商文件“正本”和采购文件中所要求份数的“副本”，并明确标明“正本”和“副本”。磋商文件正本和副本如有不一致之处，以正本为准。</w:t>
      </w:r>
    </w:p>
    <w:p>
      <w:pPr>
        <w:shd w:val="clear" w:color="auto" w:fill="FFFFFF"/>
        <w:adjustRightInd w:val="0"/>
        <w:snapToGrid w:val="0"/>
        <w:spacing w:line="500" w:lineRule="exact"/>
        <w:ind w:firstLine="501" w:firstLineChars="209"/>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2</w:t>
      </w:r>
      <w:r>
        <w:rPr>
          <w:rFonts w:hint="eastAsia" w:ascii="宋体" w:hAnsi="宋体" w:cs="宋体"/>
          <w:snapToGrid w:val="0"/>
          <w:color w:val="000000" w:themeColor="text1"/>
          <w:kern w:val="0"/>
          <w:sz w:val="24"/>
          <w14:textFill>
            <w14:solidFill>
              <w14:schemeClr w14:val="tx1"/>
            </w14:solidFill>
          </w14:textFill>
        </w:rPr>
        <w:t>）磋商文件正本与副本均应使用不能擦去的墨水书写或打印，由磋商人加盖公章和法定代表人或法定代表人委托的代理人加盖印章或签字。</w:t>
      </w:r>
    </w:p>
    <w:p>
      <w:pPr>
        <w:shd w:val="clear" w:color="auto" w:fill="FFFFFF"/>
        <w:adjustRightInd w:val="0"/>
        <w:snapToGrid w:val="0"/>
        <w:spacing w:line="500" w:lineRule="exact"/>
        <w:ind w:firstLine="482" w:firstLineChars="200"/>
        <w:rPr>
          <w:rFonts w:ascii="宋体" w:cs="宋体"/>
          <w:b/>
          <w:bCs/>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六、磋商文件的密封与标志</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14:textFill>
            <w14:solidFill>
              <w14:schemeClr w14:val="tx1"/>
            </w14:solidFill>
          </w14:textFill>
        </w:rPr>
        <w:t>）磋商供应商应准备</w:t>
      </w:r>
      <w:r>
        <w:rPr>
          <w:rFonts w:hint="eastAsia" w:ascii="宋体" w:hAnsi="宋体" w:cs="宋体"/>
          <w:b/>
          <w:bCs/>
          <w:snapToGrid w:val="0"/>
          <w:color w:val="000000" w:themeColor="text1"/>
          <w:kern w:val="0"/>
          <w:sz w:val="24"/>
          <w:u w:val="single"/>
          <w14:textFill>
            <w14:solidFill>
              <w14:schemeClr w14:val="tx1"/>
            </w14:solidFill>
          </w14:textFill>
        </w:rPr>
        <w:t>叁</w:t>
      </w:r>
      <w:r>
        <w:rPr>
          <w:rFonts w:hint="eastAsia" w:ascii="宋体" w:hAnsi="宋体" w:cs="宋体"/>
          <w:snapToGrid w:val="0"/>
          <w:color w:val="000000" w:themeColor="text1"/>
          <w:kern w:val="0"/>
          <w:sz w:val="24"/>
          <w14:textFill>
            <w14:solidFill>
              <w14:schemeClr w14:val="tx1"/>
            </w14:solidFill>
          </w14:textFill>
        </w:rPr>
        <w:t>份完整的投标文件，其中正本</w:t>
      </w:r>
      <w:r>
        <w:rPr>
          <w:rFonts w:hint="eastAsia" w:ascii="宋体" w:hAnsi="宋体" w:cs="宋体"/>
          <w:b/>
          <w:bCs/>
          <w:snapToGrid w:val="0"/>
          <w:color w:val="000000" w:themeColor="text1"/>
          <w:kern w:val="0"/>
          <w:sz w:val="24"/>
          <w:u w:val="single"/>
          <w14:textFill>
            <w14:solidFill>
              <w14:schemeClr w14:val="tx1"/>
            </w14:solidFill>
          </w14:textFill>
        </w:rPr>
        <w:t>壹</w:t>
      </w:r>
      <w:r>
        <w:rPr>
          <w:rFonts w:hint="eastAsia" w:ascii="宋体" w:hAnsi="宋体" w:cs="宋体"/>
          <w:snapToGrid w:val="0"/>
          <w:color w:val="000000" w:themeColor="text1"/>
          <w:kern w:val="0"/>
          <w:sz w:val="24"/>
          <w14:textFill>
            <w14:solidFill>
              <w14:schemeClr w14:val="tx1"/>
            </w14:solidFill>
          </w14:textFill>
        </w:rPr>
        <w:t>份，副本</w:t>
      </w:r>
      <w:r>
        <w:rPr>
          <w:rFonts w:hint="eastAsia" w:ascii="宋体" w:hAnsi="宋体" w:cs="宋体"/>
          <w:b/>
          <w:bCs/>
          <w:snapToGrid w:val="0"/>
          <w:color w:val="000000" w:themeColor="text1"/>
          <w:kern w:val="0"/>
          <w:sz w:val="24"/>
          <w:u w:val="single"/>
          <w14:textFill>
            <w14:solidFill>
              <w14:schemeClr w14:val="tx1"/>
            </w14:solidFill>
          </w14:textFill>
        </w:rPr>
        <w:t>贰</w:t>
      </w:r>
      <w:r>
        <w:rPr>
          <w:rFonts w:hint="eastAsia" w:ascii="宋体" w:hAnsi="宋体" w:cs="宋体"/>
          <w:snapToGrid w:val="0"/>
          <w:color w:val="000000" w:themeColor="text1"/>
          <w:kern w:val="0"/>
          <w:sz w:val="24"/>
          <w14:textFill>
            <w14:solidFill>
              <w14:schemeClr w14:val="tx1"/>
            </w14:solidFill>
          </w14:textFill>
        </w:rPr>
        <w:t>份，并标明“正本”或“副本”字样。</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2</w:t>
      </w:r>
      <w:r>
        <w:rPr>
          <w:rFonts w:hint="eastAsia" w:ascii="宋体" w:hAnsi="宋体" w:cs="宋体"/>
          <w:snapToGrid w:val="0"/>
          <w:color w:val="000000" w:themeColor="text1"/>
          <w:kern w:val="0"/>
          <w:sz w:val="24"/>
          <w14:textFill>
            <w14:solidFill>
              <w14:schemeClr w14:val="tx1"/>
            </w14:solidFill>
          </w14:textFill>
        </w:rPr>
        <w:t>）投标文件分为</w:t>
      </w:r>
      <w:r>
        <w:rPr>
          <w:rFonts w:hint="eastAsia" w:ascii="宋体" w:hAnsi="宋体" w:cs="宋体"/>
          <w:snapToGrid w:val="0"/>
          <w:color w:val="000000" w:themeColor="text1"/>
          <w:spacing w:val="2"/>
          <w:kern w:val="0"/>
          <w:sz w:val="24"/>
          <w14:textFill>
            <w14:solidFill>
              <w14:schemeClr w14:val="tx1"/>
            </w14:solidFill>
          </w14:textFill>
        </w:rPr>
        <w:t>资格审查资料原件、资格审查资料、</w:t>
      </w:r>
      <w:r>
        <w:rPr>
          <w:rFonts w:hint="eastAsia" w:ascii="宋体" w:hAnsi="宋体" w:cs="宋体"/>
          <w:snapToGrid w:val="0"/>
          <w:color w:val="000000" w:themeColor="text1"/>
          <w:kern w:val="0"/>
          <w:sz w:val="24"/>
          <w14:textFill>
            <w14:solidFill>
              <w14:schemeClr w14:val="tx1"/>
            </w14:solidFill>
          </w14:textFill>
        </w:rPr>
        <w:t>技术商务标、报价标四部分。</w:t>
      </w:r>
      <w:r>
        <w:rPr>
          <w:rFonts w:hint="eastAsia" w:ascii="宋体" w:hAnsi="宋体" w:cs="宋体"/>
          <w:snapToGrid w:val="0"/>
          <w:color w:val="000000" w:themeColor="text1"/>
          <w:spacing w:val="2"/>
          <w:kern w:val="0"/>
          <w:sz w:val="24"/>
          <w14:textFill>
            <w14:solidFill>
              <w14:schemeClr w14:val="tx1"/>
            </w14:solidFill>
          </w14:textFill>
        </w:rPr>
        <w:t>资格审查资料原件、资格审查资料、</w:t>
      </w:r>
      <w:r>
        <w:rPr>
          <w:rFonts w:hint="eastAsia" w:ascii="宋体" w:hAnsi="宋体" w:cs="宋体"/>
          <w:snapToGrid w:val="0"/>
          <w:color w:val="000000" w:themeColor="text1"/>
          <w:kern w:val="0"/>
          <w:sz w:val="24"/>
          <w14:textFill>
            <w14:solidFill>
              <w14:schemeClr w14:val="tx1"/>
            </w14:solidFill>
          </w14:textFill>
        </w:rPr>
        <w:t>技术商务标、报价标必须分别密封，并在封袋上标明“</w:t>
      </w:r>
      <w:r>
        <w:rPr>
          <w:rFonts w:hint="eastAsia" w:ascii="宋体" w:hAnsi="宋体" w:cs="宋体"/>
          <w:snapToGrid w:val="0"/>
          <w:color w:val="000000" w:themeColor="text1"/>
          <w:spacing w:val="2"/>
          <w:kern w:val="0"/>
          <w:sz w:val="24"/>
          <w14:textFill>
            <w14:solidFill>
              <w14:schemeClr w14:val="tx1"/>
            </w14:solidFill>
          </w14:textFill>
        </w:rPr>
        <w:t>资格审查资料原件</w:t>
      </w:r>
      <w:r>
        <w:rPr>
          <w:rFonts w:hint="eastAsia"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spacing w:val="2"/>
          <w:kern w:val="0"/>
          <w:sz w:val="24"/>
          <w14:textFill>
            <w14:solidFill>
              <w14:schemeClr w14:val="tx1"/>
            </w14:solidFill>
          </w14:textFill>
        </w:rPr>
        <w:t>、“资格审查资料”、</w:t>
      </w:r>
      <w:r>
        <w:rPr>
          <w:rFonts w:hint="eastAsia" w:ascii="宋体" w:hAnsi="宋体" w:cs="宋体"/>
          <w:snapToGrid w:val="0"/>
          <w:color w:val="000000" w:themeColor="text1"/>
          <w:kern w:val="0"/>
          <w:sz w:val="24"/>
          <w14:textFill>
            <w14:solidFill>
              <w14:schemeClr w14:val="tx1"/>
            </w14:solidFill>
          </w14:textFill>
        </w:rPr>
        <w:t>“技术商务标”或“报价标”，同时还要写明采购人名称、项目名称、磋商人名称。</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3</w:t>
      </w:r>
      <w:r>
        <w:rPr>
          <w:rFonts w:hint="eastAsia" w:ascii="宋体" w:hAnsi="宋体" w:cs="宋体"/>
          <w:snapToGrid w:val="0"/>
          <w:color w:val="000000" w:themeColor="text1"/>
          <w:kern w:val="0"/>
          <w:sz w:val="24"/>
          <w14:textFill>
            <w14:solidFill>
              <w14:schemeClr w14:val="tx1"/>
            </w14:solidFill>
          </w14:textFill>
        </w:rPr>
        <w:t>）磋商供应商可将磋商文件正副本统一密封在一个包内，磋商文件正副本也可分别密封；如正本和副本分别密封的，应在封袋上标明正、副本字样。</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4</w:t>
      </w:r>
      <w:r>
        <w:rPr>
          <w:rFonts w:hint="eastAsia" w:ascii="宋体" w:hAnsi="宋体" w:cs="宋体"/>
          <w:snapToGrid w:val="0"/>
          <w:color w:val="000000" w:themeColor="text1"/>
          <w:kern w:val="0"/>
          <w:sz w:val="24"/>
          <w14:textFill>
            <w14:solidFill>
              <w14:schemeClr w14:val="tx1"/>
            </w14:solidFill>
          </w14:textFill>
        </w:rPr>
        <w:t>）所有磋商文件的密封袋上均应加盖磋商人公章及法定代表人签章</w:t>
      </w:r>
      <w:r>
        <w:rPr>
          <w:rFonts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kern w:val="0"/>
          <w:sz w:val="24"/>
          <w14:textFill>
            <w14:solidFill>
              <w14:schemeClr w14:val="tx1"/>
            </w14:solidFill>
          </w14:textFill>
        </w:rPr>
        <w:t>或签字</w:t>
      </w:r>
      <w:r>
        <w:rPr>
          <w:rFonts w:ascii="宋体" w:hAnsi="宋体" w:cs="宋体"/>
          <w:snapToGrid w:val="0"/>
          <w:color w:val="000000" w:themeColor="text1"/>
          <w:kern w:val="0"/>
          <w:sz w:val="24"/>
          <w14:textFill>
            <w14:solidFill>
              <w14:schemeClr w14:val="tx1"/>
            </w14:solidFill>
          </w14:textFill>
        </w:rPr>
        <w:t>)</w:t>
      </w:r>
      <w:r>
        <w:rPr>
          <w:rFonts w:hint="eastAsia" w:ascii="宋体" w:hAnsi="宋体" w:cs="宋体"/>
          <w:snapToGrid w:val="0"/>
          <w:color w:val="000000" w:themeColor="text1"/>
          <w:kern w:val="0"/>
          <w:sz w:val="24"/>
          <w14:textFill>
            <w14:solidFill>
              <w14:schemeClr w14:val="tx1"/>
            </w14:solidFill>
          </w14:textFill>
        </w:rPr>
        <w:t>。磋商供应商未按上述规定提交磋商文件，其磋商文件将被拒绝，并退还给磋商人。</w:t>
      </w:r>
    </w:p>
    <w:p>
      <w:pPr>
        <w:shd w:val="clear" w:color="auto" w:fill="FFFFFF"/>
        <w:adjustRightInd w:val="0"/>
        <w:snapToGrid w:val="0"/>
        <w:spacing w:line="500" w:lineRule="exact"/>
        <w:ind w:firstLine="480" w:firstLineChars="200"/>
        <w:rPr>
          <w:rFonts w:asci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w:t>
      </w:r>
      <w:r>
        <w:rPr>
          <w:rFonts w:ascii="宋体" w:hAnsi="宋体" w:cs="宋体"/>
          <w:snapToGrid w:val="0"/>
          <w:color w:val="000000" w:themeColor="text1"/>
          <w:kern w:val="0"/>
          <w:sz w:val="24"/>
          <w14:textFill>
            <w14:solidFill>
              <w14:schemeClr w14:val="tx1"/>
            </w14:solidFill>
          </w14:textFill>
        </w:rPr>
        <w:t>5</w:t>
      </w:r>
      <w:r>
        <w:rPr>
          <w:rFonts w:hint="eastAsia" w:ascii="宋体" w:hAnsi="宋体" w:cs="宋体"/>
          <w:snapToGrid w:val="0"/>
          <w:color w:val="000000" w:themeColor="text1"/>
          <w:kern w:val="0"/>
          <w:sz w:val="24"/>
          <w14:textFill>
            <w14:solidFill>
              <w14:schemeClr w14:val="tx1"/>
            </w14:solidFill>
          </w14:textFill>
        </w:rPr>
        <w:t>）投标文件正、副本不一致时，以正本为准。</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七、投标文件的递交时间</w:t>
      </w:r>
    </w:p>
    <w:p>
      <w:pPr>
        <w:snapToGrid w:val="0"/>
        <w:spacing w:line="50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磋商供应商必须在规定的投标文件接收截止时间前送达招标人。招标人将拒绝接收在投标截止时间后递交的投标文件。</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八、磋商保证金：</w:t>
      </w:r>
      <w:r>
        <w:rPr>
          <w:rFonts w:hint="eastAsia" w:ascii="宋体"/>
          <w:color w:val="000000" w:themeColor="text1"/>
          <w:sz w:val="24"/>
          <w:szCs w:val="24"/>
          <w14:textFill>
            <w14:solidFill>
              <w14:schemeClr w14:val="tx1"/>
            </w14:solidFill>
          </w14:textFill>
        </w:rPr>
        <w:t>本项目不收投标保证金，采购文件中涉及投标保证金的事项，均按免收投标保证金执行。</w:t>
      </w:r>
    </w:p>
    <w:p>
      <w:pPr>
        <w:snapToGrid w:val="0"/>
        <w:spacing w:before="120" w:beforeLines="50" w:after="120" w:afterLines="50" w:line="500" w:lineRule="exact"/>
        <w:ind w:firstLine="472" w:firstLineChars="196"/>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九、投标费用</w:t>
      </w:r>
    </w:p>
    <w:p>
      <w:pPr>
        <w:snapToGrid w:val="0"/>
        <w:spacing w:line="500" w:lineRule="exact"/>
        <w:ind w:firstLine="480" w:firstLineChars="200"/>
        <w:rPr>
          <w:rFonts w:hint="eastAsia" w:ascii="宋体" w:hAnsi="宋体"/>
          <w:sz w:val="24"/>
          <w:szCs w:val="24"/>
        </w:rPr>
        <w:sectPr>
          <w:footerReference r:id="rId3" w:type="default"/>
          <w:pgSz w:w="11906" w:h="16838"/>
          <w:pgMar w:top="1134" w:right="1134" w:bottom="1134" w:left="1622" w:header="851" w:footer="992" w:gutter="0"/>
          <w:pgNumType w:fmt="numberInDash"/>
          <w:cols w:space="720" w:num="1"/>
          <w:docGrid w:linePitch="312" w:charSpace="0"/>
        </w:sectPr>
      </w:pPr>
      <w:r>
        <w:rPr>
          <w:rFonts w:hint="eastAsia" w:ascii="宋体" w:hAnsi="宋体"/>
          <w:color w:val="000000" w:themeColor="text1"/>
          <w:sz w:val="24"/>
          <w:szCs w:val="24"/>
          <w14:textFill>
            <w14:solidFill>
              <w14:schemeClr w14:val="tx1"/>
            </w14:solidFill>
          </w14:textFill>
        </w:rPr>
        <w:t>磋商供应商承担参与投标可能发生的全部费用，招标人在任何情况下均无义务和责任承担这些费用。</w:t>
      </w:r>
    </w:p>
    <w:p>
      <w:pPr>
        <w:pStyle w:val="2"/>
        <w:spacing w:before="240" w:after="240" w:line="360" w:lineRule="auto"/>
        <w:jc w:val="cente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第三章 项目需求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对南通市总工会职工之家阵地建设项目进行设计、施工，设计风格要求简洁明快、突出主题，符合中央“八项规定”及省市“十项规定”的相关要求，具体设计和施工内容如下：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1、地点位于启瑞广场D座10F、11F，由入口空间和两侧长廊构成。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2、外部特征</w:t>
      </w:r>
      <w:r>
        <w:rPr>
          <w:rFonts w:hint="eastAsia" w:ascii="宋体" w:hAnsi="宋体" w:cs="宋体"/>
          <w:sz w:val="24"/>
          <w:szCs w:val="24"/>
          <w:highlight w:val="none"/>
        </w:rPr>
        <w:t>（以现场实际情况为准，</w:t>
      </w:r>
      <w:r>
        <w:rPr>
          <w:rFonts w:hint="eastAsia" w:ascii="宋体" w:hAnsi="宋体"/>
          <w:color w:val="000000" w:themeColor="text1"/>
          <w:sz w:val="24"/>
          <w:szCs w:val="24"/>
          <w:highlight w:val="none"/>
          <w14:textFill>
            <w14:solidFill>
              <w14:schemeClr w14:val="tx1"/>
            </w14:solidFill>
          </w14:textFill>
        </w:rPr>
        <w:t>磋商供应商可至现场勘查</w:t>
      </w:r>
      <w:r>
        <w:rPr>
          <w:rFonts w:hint="eastAsia" w:ascii="宋体" w:hAnsi="宋体" w:cs="宋体"/>
          <w:sz w:val="24"/>
          <w:szCs w:val="24"/>
          <w:highlight w:val="none"/>
        </w:rPr>
        <w:t>）</w:t>
      </w:r>
      <w:r>
        <w:rPr>
          <w:rFonts w:hint="eastAsia" w:ascii="宋体" w:hAnsi="宋体" w:cs="宋体"/>
          <w:sz w:val="24"/>
          <w:szCs w:val="24"/>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 xml:space="preserve">• 入口空间宽约4.5m、高约2.4m； </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 xml:space="preserve">• 整体空间呈扇形结构，但被通道、房门切割，较为零散不连贯；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3、设计要求：</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（1）功能要求：南通市总工会职工之家阵地建设、文化形象装置、职工服务等；</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（2）整体空间需重新规划设计，利用现有空间充分展示内容；</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（3）整体设计风格与环境相融合，展陈灯光与楼层采光结合考虑；</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（4）设置职工接待区、多功能活动区、阅览书柜、阵地服务标语等。</w:t>
      </w:r>
    </w:p>
    <w:p>
      <w:pPr>
        <w:spacing w:before="156" w:beforeLines="50" w:after="156" w:afterLines="50" w:line="360" w:lineRule="auto"/>
        <w:ind w:firstLine="48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4、家具采购清单</w:t>
      </w:r>
    </w:p>
    <w:tbl>
      <w:tblPr>
        <w:tblStyle w:val="20"/>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921"/>
        <w:gridCol w:w="1747"/>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9" w:type="dxa"/>
            <w:gridSpan w:val="2"/>
          </w:tcPr>
          <w:p>
            <w:pPr>
              <w:spacing w:before="156" w:beforeLines="50" w:after="156" w:afterLines="50" w:line="360" w:lineRule="auto"/>
              <w:ind w:firstLine="720" w:firstLineChars="3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名称</w:t>
            </w:r>
          </w:p>
        </w:tc>
        <w:tc>
          <w:tcPr>
            <w:tcW w:w="1747"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单位</w:t>
            </w:r>
          </w:p>
        </w:tc>
        <w:tc>
          <w:tcPr>
            <w:tcW w:w="3335"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p>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洽谈桌椅</w:t>
            </w:r>
          </w:p>
        </w:tc>
        <w:tc>
          <w:tcPr>
            <w:tcW w:w="2921"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椅子</w:t>
            </w:r>
          </w:p>
        </w:tc>
        <w:tc>
          <w:tcPr>
            <w:tcW w:w="1747"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把</w:t>
            </w:r>
          </w:p>
        </w:tc>
        <w:tc>
          <w:tcPr>
            <w:tcW w:w="3335"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p>
        </w:tc>
        <w:tc>
          <w:tcPr>
            <w:tcW w:w="2921"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洽谈桌</w:t>
            </w:r>
          </w:p>
        </w:tc>
        <w:tc>
          <w:tcPr>
            <w:tcW w:w="1747"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个</w:t>
            </w:r>
          </w:p>
        </w:tc>
        <w:tc>
          <w:tcPr>
            <w:tcW w:w="3335"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p>
        </w:tc>
        <w:tc>
          <w:tcPr>
            <w:tcW w:w="2921"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沙发</w:t>
            </w:r>
          </w:p>
        </w:tc>
        <w:tc>
          <w:tcPr>
            <w:tcW w:w="1747"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组</w:t>
            </w:r>
          </w:p>
        </w:tc>
        <w:tc>
          <w:tcPr>
            <w:tcW w:w="3335"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9" w:type="dxa"/>
            <w:gridSpan w:val="2"/>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文体设施</w:t>
            </w:r>
          </w:p>
        </w:tc>
        <w:tc>
          <w:tcPr>
            <w:tcW w:w="1747"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w:t>
            </w:r>
          </w:p>
        </w:tc>
        <w:tc>
          <w:tcPr>
            <w:tcW w:w="3335" w:type="dxa"/>
          </w:tcPr>
          <w:p>
            <w:pPr>
              <w:spacing w:before="156" w:beforeLines="50" w:after="156" w:afterLines="50"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r>
    </w:tbl>
    <w:p>
      <w:pPr>
        <w:pStyle w:val="7"/>
        <w:rPr>
          <w:rFonts w:hint="eastAsia" w:ascii="宋体" w:hAnsi="宋体" w:cs="宋体"/>
          <w:szCs w:val="24"/>
        </w:rPr>
      </w:pPr>
    </w:p>
    <w:p>
      <w:pPr>
        <w:rPr>
          <w:rFonts w:hint="eastAsia" w:asciiTheme="minorEastAsia" w:hAnsiTheme="minorEastAsia"/>
          <w:color w:val="000000" w:themeColor="text1"/>
          <w:sz w:val="24"/>
          <w:szCs w:val="24"/>
          <w14:textFill>
            <w14:solidFill>
              <w14:schemeClr w14:val="tx1"/>
            </w14:solidFill>
          </w14:textFill>
        </w:rPr>
      </w:pPr>
    </w:p>
    <w:p>
      <w:pPr>
        <w:pStyle w:val="24"/>
        <w:rPr>
          <w:rFonts w:hint="eastAsia" w:asciiTheme="minorEastAsia" w:hAnsiTheme="minorEastAsia"/>
          <w:color w:val="000000" w:themeColor="text1"/>
          <w:szCs w:val="24"/>
          <w14:textFill>
            <w14:solidFill>
              <w14:schemeClr w14:val="tx1"/>
            </w14:solidFill>
          </w14:textFill>
        </w:rPr>
      </w:pPr>
    </w:p>
    <w:p>
      <w:pPr>
        <w:rPr>
          <w:rFonts w:hint="eastAsia" w:asciiTheme="minorEastAsia" w:hAnsiTheme="minorEastAsia"/>
          <w:color w:val="000000" w:themeColor="text1"/>
          <w:sz w:val="24"/>
          <w:szCs w:val="24"/>
          <w14:textFill>
            <w14:solidFill>
              <w14:schemeClr w14:val="tx1"/>
            </w14:solidFill>
          </w14:textFill>
        </w:rPr>
      </w:pPr>
    </w:p>
    <w:p>
      <w:pPr>
        <w:pStyle w:val="24"/>
        <w:rPr>
          <w:rFonts w:hint="eastAsia" w:asciiTheme="minorEastAsia" w:hAnsiTheme="minorEastAsia"/>
          <w:color w:val="000000" w:themeColor="text1"/>
          <w:szCs w:val="24"/>
          <w14:textFill>
            <w14:solidFill>
              <w14:schemeClr w14:val="tx1"/>
            </w14:solidFill>
          </w14:textFill>
        </w:rPr>
      </w:pPr>
    </w:p>
    <w:p>
      <w:pPr>
        <w:rPr>
          <w:rFonts w:hint="eastAsia" w:asciiTheme="minorEastAsia" w:hAnsiTheme="minorEastAsia"/>
          <w:color w:val="000000" w:themeColor="text1"/>
          <w:sz w:val="24"/>
          <w:szCs w:val="24"/>
          <w14:textFill>
            <w14:solidFill>
              <w14:schemeClr w14:val="tx1"/>
            </w14:solidFill>
          </w14:textFill>
        </w:rPr>
      </w:pPr>
    </w:p>
    <w:p>
      <w:pPr>
        <w:pStyle w:val="2"/>
        <w:spacing w:before="240" w:after="240" w:line="360" w:lineRule="auto"/>
        <w:jc w:val="center"/>
        <w:rPr>
          <w:rFonts w:hint="eastAsia" w:asciiTheme="minorEastAsia" w:hAnsiTheme="minorEastAsia" w:eastAsiaTheme="minorEastAsia"/>
          <w:color w:val="000000" w:themeColor="text1"/>
          <w14:textFill>
            <w14:solidFill>
              <w14:schemeClr w14:val="tx1"/>
            </w14:solidFill>
          </w14:textFill>
        </w:rPr>
      </w:pPr>
      <w:bookmarkStart w:id="2" w:name="_Toc517717028"/>
      <w:r>
        <w:rPr>
          <w:rFonts w:hint="eastAsia" w:asciiTheme="minorEastAsia" w:hAnsiTheme="minorEastAsia" w:eastAsiaTheme="minorEastAsia"/>
          <w:color w:val="000000" w:themeColor="text1"/>
          <w14:textFill>
            <w14:solidFill>
              <w14:schemeClr w14:val="tx1"/>
            </w14:solidFill>
          </w14:textFill>
        </w:rPr>
        <w:t>第四章  评标办法</w:t>
      </w:r>
      <w:bookmarkEnd w:id="2"/>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一、招标人组织开标</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磋商供应商的法定代表人或授权人须持有效身份证参加开标会。</w:t>
      </w:r>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二、评委会的组成</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评委会由招标人代表和委托的专家共3人以上单数组成，对投标文件进行审查、质疑、评估、比较。评委会按照公平、公正、择优的原则进行独立评标。</w:t>
      </w:r>
    </w:p>
    <w:p>
      <w:pPr>
        <w:snapToGrid w:val="0"/>
        <w:spacing w:line="360" w:lineRule="auto"/>
        <w:ind w:firstLine="482" w:firstLineChars="200"/>
        <w:jc w:val="left"/>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（一）评审内容</w:t>
      </w:r>
    </w:p>
    <w:p>
      <w:pPr>
        <w:snapToGrid w:val="0"/>
        <w:spacing w:line="360" w:lineRule="auto"/>
        <w:ind w:firstLine="470" w:firstLineChars="196"/>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、磋商供应商投标资格；</w:t>
      </w:r>
    </w:p>
    <w:p>
      <w:pPr>
        <w:snapToGrid w:val="0"/>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、要求的保证金是否已提供；（本项目不涉及保证金）</w:t>
      </w:r>
    </w:p>
    <w:p>
      <w:pPr>
        <w:snapToGrid w:val="0"/>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、投标文件是否完整；</w:t>
      </w:r>
    </w:p>
    <w:p>
      <w:pPr>
        <w:snapToGrid w:val="0"/>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、投标文件是否恰当地签署；</w:t>
      </w:r>
    </w:p>
    <w:p>
      <w:pPr>
        <w:snapToGrid w:val="0"/>
        <w:spacing w:line="360" w:lineRule="auto"/>
        <w:ind w:firstLine="480" w:firstLineChars="200"/>
        <w:jc w:val="left"/>
        <w:rPr>
          <w:rFonts w:hint="eastAsia" w:asciiTheme="minorEastAsia" w:hAnsiTheme="minorEastAsia"/>
          <w:b/>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、是否作出实质性响应（</w:t>
      </w:r>
      <w:r>
        <w:rPr>
          <w:rFonts w:hint="eastAsia" w:asciiTheme="minorEastAsia" w:hAnsiTheme="minorEastAsia"/>
          <w:b/>
          <w:color w:val="000000" w:themeColor="text1"/>
          <w:sz w:val="24"/>
          <w:szCs w:val="24"/>
          <w14:textFill>
            <w14:solidFill>
              <w14:schemeClr w14:val="tx1"/>
            </w14:solidFill>
          </w14:textFill>
        </w:rPr>
        <w:t>是否有实质性响应，只根据投标文件本身，而不寻求外部证据）；</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、是否有计算错误。</w:t>
      </w:r>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（二）相应的规定</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如果单价汇总金额与总价金额有出入，以单价金额计算结果为准；</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、单价金额小数点有明显错位的，应以总价为准；</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、正本与副本有矛盾的，以正本为准；</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、若文件大写表示的数据与数字表示的有差别，以大写表示的数据为准。</w:t>
      </w:r>
    </w:p>
    <w:p>
      <w:pPr>
        <w:snapToGrid w:val="0"/>
        <w:spacing w:line="360" w:lineRule="auto"/>
        <w:ind w:firstLine="480" w:firstLineChars="200"/>
        <w:jc w:val="left"/>
        <w:rPr>
          <w:rFonts w:hint="eastAsia" w:cs="宋体" w:asciiTheme="minorEastAsia" w:hAnsiTheme="minorEastAsia"/>
          <w:snapToGrid w:val="0"/>
          <w:color w:val="000000" w:themeColor="text1"/>
          <w:kern w:val="0"/>
          <w:sz w:val="24"/>
          <w14:textFill>
            <w14:solidFill>
              <w14:schemeClr w14:val="tx1"/>
            </w14:solidFill>
          </w14:textFill>
        </w:rPr>
      </w:pPr>
      <w:r>
        <w:rPr>
          <w:rFonts w:cs="宋体" w:asciiTheme="minorEastAsia" w:hAnsiTheme="minorEastAsia"/>
          <w:snapToGrid w:val="0"/>
          <w:color w:val="000000" w:themeColor="text1"/>
          <w:kern w:val="0"/>
          <w:sz w:val="24"/>
          <w14:textFill>
            <w14:solidFill>
              <w14:schemeClr w14:val="tx1"/>
            </w14:solidFill>
          </w14:textFill>
        </w:rPr>
        <w:t>5</w:t>
      </w:r>
      <w:r>
        <w:rPr>
          <w:rFonts w:hint="eastAsia" w:cs="宋体" w:asciiTheme="minorEastAsia" w:hAnsiTheme="minorEastAsia"/>
          <w:snapToGrid w:val="0"/>
          <w:color w:val="000000" w:themeColor="text1"/>
          <w:kern w:val="0"/>
          <w:sz w:val="24"/>
          <w14:textFill>
            <w14:solidFill>
              <w14:schemeClr w14:val="tx1"/>
            </w14:solidFill>
          </w14:textFill>
        </w:rPr>
        <w:t>、最后报价是供应商响应文件的有效组成部分。</w:t>
      </w:r>
    </w:p>
    <w:p>
      <w:pPr>
        <w:snapToGrid w:val="0"/>
        <w:spacing w:line="360" w:lineRule="auto"/>
        <w:ind w:firstLine="480" w:firstLineChars="200"/>
        <w:jc w:val="left"/>
        <w:rPr>
          <w:rFonts w:hint="eastAsia" w:cs="宋体" w:asciiTheme="minorEastAsia" w:hAnsiTheme="minorEastAsia"/>
          <w:snapToGrid w:val="0"/>
          <w:color w:val="000000" w:themeColor="text1"/>
          <w:kern w:val="0"/>
          <w:sz w:val="24"/>
          <w14:textFill>
            <w14:solidFill>
              <w14:schemeClr w14:val="tx1"/>
            </w14:solidFill>
          </w14:textFill>
        </w:rPr>
      </w:pPr>
      <w:r>
        <w:rPr>
          <w:rFonts w:cs="宋体" w:asciiTheme="minorEastAsia" w:hAnsiTheme="minorEastAsia"/>
          <w:snapToGrid w:val="0"/>
          <w:color w:val="000000" w:themeColor="text1"/>
          <w:kern w:val="0"/>
          <w:sz w:val="24"/>
          <w14:textFill>
            <w14:solidFill>
              <w14:schemeClr w14:val="tx1"/>
            </w14:solidFill>
          </w14:textFill>
        </w:rPr>
        <w:t>6</w:t>
      </w:r>
      <w:r>
        <w:rPr>
          <w:rFonts w:hint="eastAsia" w:cs="宋体" w:asciiTheme="minorEastAsia" w:hAnsiTheme="minorEastAsia"/>
          <w:snapToGrid w:val="0"/>
          <w:color w:val="000000" w:themeColor="text1"/>
          <w:kern w:val="0"/>
          <w:sz w:val="24"/>
          <w14:textFill>
            <w14:solidFill>
              <w14:schemeClr w14:val="tx1"/>
            </w14:solidFill>
          </w14:textFill>
        </w:rPr>
        <w:t>、除非在磋商中磋商小组对采购人需求内容作了调整增加，或对采购内容作了实质性变更，否则采购人不接受供应商高于自己前一轮的磋商报价。</w:t>
      </w:r>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三、陈述、演示、答疑、澄清</w:t>
      </w:r>
    </w:p>
    <w:p>
      <w:pPr>
        <w:snapToGrid w:val="0"/>
        <w:spacing w:line="360" w:lineRule="auto"/>
        <w:ind w:firstLine="480" w:firstLineChars="200"/>
        <w:jc w:val="left"/>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shd w:val="clear" w:color="auto" w:fill="FFFFFF"/>
          <w14:textFill>
            <w14:solidFill>
              <w14:schemeClr w14:val="tx1"/>
            </w14:solidFill>
          </w14:textFill>
        </w:rPr>
        <w:t>如评委会认为有必要，磋商供应商按评委会的要求作陈述、演示、</w:t>
      </w:r>
      <w:r>
        <w:rPr>
          <w:rFonts w:hint="eastAsia" w:asciiTheme="minorEastAsia" w:hAnsiTheme="minorEastAsia"/>
          <w:color w:val="000000" w:themeColor="text1"/>
          <w:sz w:val="24"/>
          <w:szCs w:val="24"/>
          <w14:textFill>
            <w14:solidFill>
              <w14:schemeClr w14:val="tx1"/>
            </w14:solidFill>
          </w14:textFill>
        </w:rPr>
        <w:t>答疑及澄清其投标内容。时间由</w:t>
      </w:r>
      <w:r>
        <w:rPr>
          <w:rFonts w:hint="eastAsia" w:asciiTheme="minorEastAsia" w:hAnsiTheme="minorEastAsia"/>
          <w:color w:val="000000" w:themeColor="text1"/>
          <w:sz w:val="24"/>
          <w:szCs w:val="24"/>
          <w:shd w:val="clear" w:color="auto" w:fill="FFFFFF"/>
          <w14:textFill>
            <w14:solidFill>
              <w14:schemeClr w14:val="tx1"/>
            </w14:solidFill>
          </w14:textFill>
        </w:rPr>
        <w:t>评委会</w:t>
      </w:r>
      <w:r>
        <w:rPr>
          <w:rFonts w:hint="eastAsia" w:asciiTheme="minorEastAsia" w:hAnsiTheme="minorEastAsia"/>
          <w:color w:val="000000" w:themeColor="text1"/>
          <w:sz w:val="24"/>
          <w:szCs w:val="24"/>
          <w14:textFill>
            <w14:solidFill>
              <w14:schemeClr w14:val="tx1"/>
            </w14:solidFill>
          </w14:textFill>
        </w:rPr>
        <w:t>掌握。</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重要澄清答复应是书面的，但不得对投标内容进行实质性修改。</w:t>
      </w:r>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四、出现下列情形之一的，作无效投标处理</w:t>
      </w:r>
    </w:p>
    <w:p>
      <w:pPr>
        <w:spacing w:line="360" w:lineRule="auto"/>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1、未按照招标文件规定要求密封、签署、盖章的；</w:t>
      </w:r>
    </w:p>
    <w:p>
      <w:pPr>
        <w:spacing w:line="360" w:lineRule="auto"/>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投标人在报价时采用选择性报价；</w:t>
      </w:r>
    </w:p>
    <w:p>
      <w:pPr>
        <w:spacing w:line="360" w:lineRule="auto"/>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3、投标人不具备招标文件中规定资格要求的；</w:t>
      </w:r>
    </w:p>
    <w:p>
      <w:pPr>
        <w:spacing w:line="360" w:lineRule="auto"/>
        <w:ind w:left="959" w:leftChars="228" w:hanging="480" w:hanging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4、不符合法律、法规和招标文件中规定的其他实质性要求的（本招标文件中带★标识或有斜体下划线部分为实质性要求和条件）；</w:t>
      </w:r>
    </w:p>
    <w:p>
      <w:pPr>
        <w:spacing w:line="360" w:lineRule="auto"/>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5、投标报价高于采购预算的；</w:t>
      </w:r>
    </w:p>
    <w:p>
      <w:pPr>
        <w:spacing w:line="360" w:lineRule="auto"/>
        <w:ind w:firstLine="480" w:firstLine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6、其他法律、法规及本招标文件规定的属无效投标的情形。</w:t>
      </w:r>
    </w:p>
    <w:p>
      <w:pPr>
        <w:spacing w:line="360" w:lineRule="auto"/>
        <w:ind w:firstLine="482" w:firstLineChars="200"/>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五、出现下列情形之一的，作废标处理</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、出现影响采购公正的违法违规行为的；</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、磋商供应商的报价均超过了采购预算，采购人不能支付的；</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、因重大变故，采购任务取消的。</w:t>
      </w:r>
    </w:p>
    <w:p>
      <w:pPr>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上述均保留</w:t>
      </w:r>
      <w:r>
        <w:rPr>
          <w:rFonts w:hint="eastAsia" w:asciiTheme="minorEastAsia" w:hAnsiTheme="minorEastAsia"/>
          <w:color w:val="000000" w:themeColor="text1"/>
          <w:sz w:val="24"/>
          <w:szCs w:val="24"/>
          <w:shd w:val="clear" w:color="auto" w:fill="FFFFFF"/>
          <w14:textFill>
            <w14:solidFill>
              <w14:schemeClr w14:val="tx1"/>
            </w14:solidFill>
          </w14:textFill>
        </w:rPr>
        <w:t>评委会</w:t>
      </w:r>
      <w:r>
        <w:rPr>
          <w:rFonts w:hint="eastAsia" w:asciiTheme="minorEastAsia" w:hAnsiTheme="minorEastAsia"/>
          <w:color w:val="000000" w:themeColor="text1"/>
          <w:sz w:val="24"/>
          <w:szCs w:val="24"/>
          <w14:textFill>
            <w14:solidFill>
              <w14:schemeClr w14:val="tx1"/>
            </w14:solidFill>
          </w14:textFill>
        </w:rPr>
        <w:t>认定可以确定为无效投标或废标的其他情况。</w:t>
      </w:r>
    </w:p>
    <w:p>
      <w:pPr>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六、变更为其他方式采购的情形</w:t>
      </w:r>
    </w:p>
    <w:p>
      <w:pPr>
        <w:autoSpaceDE w:val="0"/>
        <w:autoSpaceDN w:val="0"/>
        <w:snapToGrid w:val="0"/>
        <w:spacing w:line="360" w:lineRule="auto"/>
        <w:ind w:firstLine="480" w:firstLineChars="200"/>
        <w:jc w:val="left"/>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投标截止时间出现如下情形的，参加投标的供应商不足</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家的，及评标中出现符合专业条件的供应商或对招标文件作实质响应的磋商供应商不足</w:t>
      </w: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家的，招标人视情采取其他方式采购。</w:t>
      </w:r>
      <w:r>
        <w:rPr>
          <w:rFonts w:hint="eastAsia" w:asciiTheme="minorEastAsia" w:hAnsiTheme="minorEastAsia"/>
          <w:color w:val="000000" w:themeColor="text1"/>
          <w:sz w:val="24"/>
          <w:szCs w:val="24"/>
          <w:lang w:val="zh-CN"/>
          <w14:textFill>
            <w14:solidFill>
              <w14:schemeClr w14:val="tx1"/>
            </w14:solidFill>
          </w14:textFill>
        </w:rPr>
        <w:t>本次招标文件中对供应商资格、技术等要求，将作为</w:t>
      </w:r>
      <w:r>
        <w:rPr>
          <w:rFonts w:hint="eastAsia" w:asciiTheme="minorEastAsia" w:hAnsiTheme="minorEastAsia"/>
          <w:color w:val="000000" w:themeColor="text1"/>
          <w:sz w:val="24"/>
          <w:szCs w:val="24"/>
          <w14:textFill>
            <w14:solidFill>
              <w14:schemeClr w14:val="tx1"/>
            </w14:solidFill>
          </w14:textFill>
        </w:rPr>
        <w:t>其他</w:t>
      </w:r>
      <w:r>
        <w:rPr>
          <w:rFonts w:hint="eastAsia" w:asciiTheme="minorEastAsia" w:hAnsiTheme="minorEastAsia"/>
          <w:color w:val="000000" w:themeColor="text1"/>
          <w:sz w:val="24"/>
          <w:szCs w:val="24"/>
          <w:lang w:val="zh-CN"/>
          <w14:textFill>
            <w14:solidFill>
              <w14:schemeClr w14:val="tx1"/>
            </w14:solidFill>
          </w14:textFill>
        </w:rPr>
        <w:t>方式采购的基本要求和依据。原已经参加投标并符合要求的供应商，根据自愿原则，参加</w:t>
      </w:r>
      <w:r>
        <w:rPr>
          <w:rFonts w:hint="eastAsia" w:asciiTheme="minorEastAsia" w:hAnsiTheme="minorEastAsia"/>
          <w:color w:val="000000" w:themeColor="text1"/>
          <w:sz w:val="24"/>
          <w:szCs w:val="24"/>
          <w14:textFill>
            <w14:solidFill>
              <w14:schemeClr w14:val="tx1"/>
            </w14:solidFill>
          </w14:textFill>
        </w:rPr>
        <w:t>其他</w:t>
      </w:r>
      <w:r>
        <w:rPr>
          <w:rFonts w:hint="eastAsia" w:asciiTheme="minorEastAsia" w:hAnsiTheme="minorEastAsia"/>
          <w:color w:val="000000" w:themeColor="text1"/>
          <w:sz w:val="24"/>
          <w:szCs w:val="24"/>
          <w:lang w:val="zh-CN"/>
          <w14:textFill>
            <w14:solidFill>
              <w14:schemeClr w14:val="tx1"/>
            </w14:solidFill>
          </w14:textFill>
        </w:rPr>
        <w:t>方式采购。</w:t>
      </w:r>
    </w:p>
    <w:p>
      <w:pPr>
        <w:autoSpaceDE w:val="0"/>
        <w:autoSpaceDN w:val="0"/>
        <w:snapToGrid w:val="0"/>
        <w:spacing w:line="360" w:lineRule="auto"/>
        <w:ind w:firstLine="482" w:firstLineChars="200"/>
        <w:jc w:val="left"/>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七、评分标准</w:t>
      </w:r>
    </w:p>
    <w:p>
      <w:pPr>
        <w:autoSpaceDE w:val="0"/>
        <w:autoSpaceDN w:val="0"/>
        <w:snapToGrid w:val="0"/>
        <w:spacing w:line="360" w:lineRule="auto"/>
        <w:ind w:firstLine="480" w:firstLineChars="200"/>
        <w:jc w:val="lef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本次招标的评标方法采用综合评分法。即在最大限度地满足招标文件实质性要求前提下，按照招标文件中规定的各项因素进行综合评审，以评标总得分最高的磋商供应商作为中标候选供应商或者中标供应商的评标办法。</w:t>
      </w:r>
    </w:p>
    <w:p>
      <w:pPr>
        <w:snapToGrid w:val="0"/>
        <w:spacing w:line="300" w:lineRule="auto"/>
        <w:ind w:firstLine="555"/>
        <w:rPr>
          <w:rFonts w:hint="eastAsia"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首先由采购人评审磋商供应商资格性、符合性，对合格的磋商供应商由评标委员会评审商务技术标，待商务技术标评审结束后，再评审价格。</w:t>
      </w:r>
    </w:p>
    <w:p>
      <w:pPr>
        <w:snapToGrid w:val="0"/>
        <w:spacing w:line="300" w:lineRule="auto"/>
        <w:ind w:firstLine="555"/>
        <w:rPr>
          <w:rFonts w:hint="eastAsia" w:asciiTheme="minorEastAsia" w:hAnsiTheme="minorEastAsia"/>
          <w:b/>
          <w:color w:val="000000" w:themeColor="text1"/>
          <w:sz w:val="24"/>
          <w:szCs w:val="28"/>
          <w14:textFill>
            <w14:solidFill>
              <w14:schemeClr w14:val="tx1"/>
            </w14:solidFill>
          </w14:textFill>
        </w:rPr>
      </w:pPr>
      <w:r>
        <w:rPr>
          <w:rFonts w:hint="eastAsia" w:asciiTheme="minorEastAsia" w:hAnsiTheme="minorEastAsia"/>
          <w:b/>
          <w:color w:val="000000" w:themeColor="text1"/>
          <w:sz w:val="24"/>
          <w:szCs w:val="28"/>
          <w14:textFill>
            <w14:solidFill>
              <w14:schemeClr w14:val="tx1"/>
            </w14:solidFill>
          </w14:textFill>
        </w:rPr>
        <w:t>评委在认真审阅投标文件的基础上，根据各投标文件的商务技术部分的响应情况，对各评分项目进行评分。</w:t>
      </w:r>
    </w:p>
    <w:p>
      <w:pPr>
        <w:snapToGrid w:val="0"/>
        <w:spacing w:line="300" w:lineRule="auto"/>
        <w:ind w:firstLine="482" w:firstLineChars="200"/>
        <w:rPr>
          <w:rFonts w:hint="eastAsia" w:asciiTheme="minorEastAsia" w:hAnsiTheme="minorEastAsia"/>
          <w:b/>
          <w:color w:val="000000" w:themeColor="text1"/>
          <w:sz w:val="24"/>
          <w:szCs w:val="28"/>
          <w14:textFill>
            <w14:solidFill>
              <w14:schemeClr w14:val="tx1"/>
            </w14:solidFill>
          </w14:textFill>
        </w:rPr>
      </w:pPr>
      <w:r>
        <w:rPr>
          <w:rFonts w:hint="eastAsia" w:asciiTheme="minorEastAsia" w:hAnsiTheme="minorEastAsia"/>
          <w:b/>
          <w:color w:val="000000" w:themeColor="text1"/>
          <w:sz w:val="24"/>
          <w:szCs w:val="28"/>
          <w14:textFill>
            <w14:solidFill>
              <w14:schemeClr w14:val="tx1"/>
            </w14:solidFill>
          </w14:textFill>
        </w:rPr>
        <w:t>（一）采购人代表对磋商供应商资格性、符合性审查。</w:t>
      </w:r>
    </w:p>
    <w:p>
      <w:pPr>
        <w:pStyle w:val="30"/>
        <w:snapToGrid w:val="0"/>
        <w:spacing w:line="300" w:lineRule="auto"/>
        <w:ind w:firstLine="494"/>
        <w:contextualSpacing/>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磋商供应商资格性、符合性不合格的，其投标文件判定为无效投标文件。合格的，评委对其投标文件继续评审。</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（二）评委将以采购文件为评标依据，对投标人的投标报价、技术文件及商务文件等内容打分。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（三）评分标准：</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本项目采用综合评分法确定中标候选人。评标委员会将按下列评分办法和标准进行评分，总分值为</w:t>
      </w:r>
      <w:r>
        <w:rPr>
          <w:rFonts w:asciiTheme="minorEastAsia" w:hAnsiTheme="minorEastAsia"/>
          <w:color w:val="000000" w:themeColor="text1"/>
          <w:sz w:val="24"/>
          <w14:textFill>
            <w14:solidFill>
              <w14:schemeClr w14:val="tx1"/>
            </w14:solidFill>
          </w14:textFill>
        </w:rPr>
        <w:t>100分。</w:t>
      </w:r>
    </w:p>
    <w:tbl>
      <w:tblPr>
        <w:tblStyle w:val="19"/>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25"/>
        <w:gridCol w:w="971"/>
        <w:gridCol w:w="584"/>
        <w:gridCol w:w="5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1" w:type="pct"/>
            <w:vAlign w:val="center"/>
          </w:tcPr>
          <w:p>
            <w:pPr>
              <w:snapToGrid w:val="0"/>
              <w:jc w:val="center"/>
              <w:rPr>
                <w:rFonts w:hint="eastAsia" w:ascii="宋体" w:hAnsi="宋体" w:cs="宋体"/>
                <w:kern w:val="0"/>
              </w:rPr>
            </w:pPr>
            <w:r>
              <w:rPr>
                <w:rFonts w:hint="eastAsia" w:ascii="宋体" w:hAnsi="宋体" w:cs="宋体"/>
                <w:b/>
                <w:kern w:val="0"/>
              </w:rPr>
              <w:t>序号</w:t>
            </w:r>
          </w:p>
        </w:tc>
        <w:tc>
          <w:tcPr>
            <w:tcW w:w="966" w:type="pct"/>
            <w:vAlign w:val="center"/>
          </w:tcPr>
          <w:p>
            <w:pPr>
              <w:snapToGrid w:val="0"/>
              <w:jc w:val="center"/>
              <w:rPr>
                <w:rFonts w:hint="eastAsia" w:ascii="宋体" w:hAnsi="宋体" w:cs="宋体"/>
                <w:b/>
                <w:kern w:val="0"/>
              </w:rPr>
            </w:pPr>
            <w:r>
              <w:rPr>
                <w:rFonts w:hint="eastAsia" w:ascii="宋体" w:hAnsi="宋体" w:cs="宋体"/>
                <w:b/>
                <w:kern w:val="0"/>
              </w:rPr>
              <w:t>评审因素</w:t>
            </w:r>
          </w:p>
        </w:tc>
        <w:tc>
          <w:tcPr>
            <w:tcW w:w="823" w:type="pct"/>
            <w:gridSpan w:val="2"/>
            <w:vAlign w:val="center"/>
          </w:tcPr>
          <w:p>
            <w:pPr>
              <w:snapToGrid w:val="0"/>
              <w:jc w:val="center"/>
              <w:rPr>
                <w:rFonts w:hint="eastAsia" w:ascii="宋体" w:hAnsi="宋体" w:cs="宋体"/>
                <w:kern w:val="0"/>
              </w:rPr>
            </w:pPr>
            <w:r>
              <w:rPr>
                <w:rFonts w:hint="eastAsia" w:ascii="宋体" w:hAnsi="宋体" w:cs="宋体"/>
                <w:b/>
                <w:kern w:val="0"/>
              </w:rPr>
              <w:t>分值</w:t>
            </w:r>
          </w:p>
        </w:tc>
        <w:tc>
          <w:tcPr>
            <w:tcW w:w="2838" w:type="pct"/>
            <w:vAlign w:val="center"/>
          </w:tcPr>
          <w:p>
            <w:pPr>
              <w:snapToGrid w:val="0"/>
              <w:jc w:val="center"/>
              <w:rPr>
                <w:rFonts w:hint="eastAsia" w:ascii="宋体" w:hAnsi="宋体" w:cs="宋体"/>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371" w:type="pct"/>
            <w:vAlign w:val="center"/>
          </w:tcPr>
          <w:p>
            <w:pPr>
              <w:snapToGrid w:val="0"/>
              <w:jc w:val="center"/>
              <w:rPr>
                <w:rFonts w:hint="eastAsia" w:ascii="宋体" w:hAnsi="宋体" w:cs="宋体"/>
                <w:kern w:val="0"/>
                <w:sz w:val="22"/>
                <w:szCs w:val="24"/>
              </w:rPr>
            </w:pPr>
            <w:r>
              <w:rPr>
                <w:rFonts w:hint="eastAsia" w:ascii="宋体" w:hAnsi="宋体" w:cs="宋体"/>
                <w:kern w:val="0"/>
                <w:sz w:val="22"/>
                <w:szCs w:val="24"/>
              </w:rPr>
              <w:t>1</w:t>
            </w:r>
          </w:p>
        </w:tc>
        <w:tc>
          <w:tcPr>
            <w:tcW w:w="966" w:type="pct"/>
            <w:vAlign w:val="center"/>
          </w:tcPr>
          <w:p>
            <w:pPr>
              <w:snapToGrid w:val="0"/>
              <w:jc w:val="center"/>
              <w:rPr>
                <w:rFonts w:hint="eastAsia" w:ascii="宋体" w:hAnsi="宋体" w:cs="宋体"/>
                <w:sz w:val="22"/>
              </w:rPr>
            </w:pPr>
            <w:r>
              <w:rPr>
                <w:rFonts w:hint="eastAsia" w:ascii="宋体" w:hAnsi="宋体" w:cs="宋体"/>
                <w:sz w:val="22"/>
              </w:rPr>
              <w:t>投标报价</w:t>
            </w:r>
          </w:p>
        </w:tc>
        <w:tc>
          <w:tcPr>
            <w:tcW w:w="823" w:type="pct"/>
            <w:gridSpan w:val="2"/>
            <w:vAlign w:val="center"/>
          </w:tcPr>
          <w:p>
            <w:pPr>
              <w:snapToGrid w:val="0"/>
              <w:jc w:val="center"/>
              <w:rPr>
                <w:rFonts w:hint="eastAsia" w:ascii="宋体" w:hAnsi="宋体" w:cs="宋体"/>
                <w:sz w:val="22"/>
              </w:rPr>
            </w:pPr>
            <w:r>
              <w:rPr>
                <w:rFonts w:hint="eastAsia" w:ascii="宋体" w:hAnsi="宋体" w:cs="宋体"/>
                <w:sz w:val="22"/>
              </w:rPr>
              <w:t>30分</w:t>
            </w:r>
          </w:p>
        </w:tc>
        <w:tc>
          <w:tcPr>
            <w:tcW w:w="2838" w:type="pct"/>
            <w:vAlign w:val="center"/>
          </w:tcPr>
          <w:p>
            <w:pPr>
              <w:snapToGrid w:val="0"/>
              <w:textAlignment w:val="center"/>
              <w:rPr>
                <w:rFonts w:hint="eastAsia" w:ascii="宋体" w:hAnsi="宋体" w:cs="宋体"/>
                <w:kern w:val="0"/>
                <w:sz w:val="22"/>
                <w:szCs w:val="24"/>
              </w:rPr>
            </w:pPr>
            <w:r>
              <w:rPr>
                <w:rFonts w:hint="eastAsia" w:ascii="宋体" w:hAnsi="宋体" w:cs="宋体"/>
                <w:kern w:val="0"/>
                <w:sz w:val="22"/>
                <w:szCs w:val="24"/>
              </w:rPr>
              <w:t>满足招标文件要求且投标价格最低的投标报价为评标基准价，其投标人的报价分为最高分30分。其他投标人的报价分按以下公式计算：报价得分=(评标基准价／投标报价)×30，</w:t>
            </w:r>
            <w:r>
              <w:rPr>
                <w:rFonts w:hint="eastAsia" w:ascii="宋体" w:hAnsi="宋体" w:cs="宋体"/>
                <w:b/>
                <w:bCs/>
                <w:kern w:val="0"/>
                <w:sz w:val="22"/>
                <w:szCs w:val="24"/>
              </w:rPr>
              <w:t>分值四舍五入保留两位小数</w:t>
            </w:r>
            <w:r>
              <w:rPr>
                <w:rFonts w:hint="eastAsia" w:ascii="宋体" w:hAnsi="宋体" w:cs="宋体"/>
                <w:kern w:val="0"/>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71" w:type="pct"/>
            <w:vMerge w:val="restart"/>
            <w:vAlign w:val="center"/>
          </w:tcPr>
          <w:p>
            <w:pPr>
              <w:snapToGrid w:val="0"/>
              <w:jc w:val="center"/>
              <w:rPr>
                <w:rFonts w:hint="eastAsia" w:ascii="宋体" w:hAnsi="宋体" w:cs="宋体"/>
                <w:kern w:val="0"/>
                <w:sz w:val="22"/>
                <w:szCs w:val="24"/>
              </w:rPr>
            </w:pPr>
            <w:r>
              <w:rPr>
                <w:rFonts w:hint="eastAsia" w:ascii="宋体" w:hAnsi="宋体" w:cs="宋体"/>
                <w:kern w:val="0"/>
                <w:sz w:val="22"/>
                <w:szCs w:val="24"/>
              </w:rPr>
              <w:t>2</w:t>
            </w:r>
          </w:p>
        </w:tc>
        <w:tc>
          <w:tcPr>
            <w:tcW w:w="966" w:type="pct"/>
            <w:vMerge w:val="restart"/>
            <w:vAlign w:val="center"/>
          </w:tcPr>
          <w:p>
            <w:pPr>
              <w:snapToGrid w:val="0"/>
              <w:jc w:val="center"/>
              <w:textAlignment w:val="center"/>
              <w:rPr>
                <w:rFonts w:hint="eastAsia" w:ascii="宋体" w:hAnsi="宋体" w:cs="宋体"/>
                <w:kern w:val="0"/>
                <w:sz w:val="22"/>
                <w:szCs w:val="24"/>
              </w:rPr>
            </w:pPr>
            <w:r>
              <w:rPr>
                <w:rFonts w:hint="eastAsia" w:ascii="宋体" w:hAnsi="宋体" w:cs="宋体"/>
                <w:b/>
                <w:bCs/>
                <w:kern w:val="0"/>
              </w:rPr>
              <w:t>设计方案（40分）</w:t>
            </w:r>
          </w:p>
        </w:tc>
        <w:tc>
          <w:tcPr>
            <w:tcW w:w="514" w:type="pct"/>
            <w:vAlign w:val="center"/>
          </w:tcPr>
          <w:p>
            <w:pPr>
              <w:snapToGrid w:val="0"/>
              <w:jc w:val="center"/>
              <w:rPr>
                <w:rFonts w:hint="eastAsia" w:ascii="宋体" w:hAnsi="宋体" w:cs="宋体"/>
                <w:kern w:val="0"/>
              </w:rPr>
            </w:pPr>
            <w:r>
              <w:rPr>
                <w:rFonts w:hint="eastAsia" w:ascii="宋体" w:hAnsi="宋体" w:cs="宋体"/>
                <w:szCs w:val="21"/>
              </w:rPr>
              <w:t>整体策划设计</w:t>
            </w:r>
          </w:p>
        </w:tc>
        <w:tc>
          <w:tcPr>
            <w:tcW w:w="309" w:type="pct"/>
            <w:vAlign w:val="center"/>
          </w:tcPr>
          <w:p>
            <w:pPr>
              <w:snapToGrid w:val="0"/>
              <w:jc w:val="center"/>
              <w:rPr>
                <w:rFonts w:hint="eastAsia" w:ascii="宋体" w:hAnsi="宋体" w:cs="宋体"/>
                <w:kern w:val="0"/>
              </w:rPr>
            </w:pPr>
            <w:r>
              <w:rPr>
                <w:rFonts w:hint="eastAsia" w:ascii="宋体" w:hAnsi="宋体" w:cs="宋体"/>
                <w:szCs w:val="21"/>
              </w:rPr>
              <w:t>10</w:t>
            </w:r>
          </w:p>
        </w:tc>
        <w:tc>
          <w:tcPr>
            <w:tcW w:w="2838" w:type="pct"/>
            <w:vAlign w:val="center"/>
          </w:tcPr>
          <w:p>
            <w:pPr>
              <w:snapToGrid w:val="0"/>
              <w:textAlignment w:val="center"/>
              <w:rPr>
                <w:rFonts w:hint="eastAsia" w:ascii="宋体" w:hAnsi="宋体" w:cs="宋体"/>
                <w:kern w:val="0"/>
              </w:rPr>
            </w:pPr>
            <w:r>
              <w:rPr>
                <w:rFonts w:hint="eastAsia" w:ascii="宋体" w:hAnsi="宋体" w:cs="宋体"/>
                <w:kern w:val="0"/>
              </w:rPr>
              <w:t>根据现场情况，对本项目特性有深刻解读，项目定位分析准确全面，对本项目有充分理解并作出亮点策划的得10分；对本项目特性有一定认知，项目定位分析基本准确，对本项目有一定了解并作出合理策划的得7分；对本项目特性缺乏认知，项目定位分析不当，对本项目缺乏了解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71" w:type="pct"/>
            <w:vMerge w:val="continue"/>
            <w:vAlign w:val="center"/>
          </w:tcPr>
          <w:p>
            <w:pPr>
              <w:snapToGrid w:val="0"/>
              <w:jc w:val="center"/>
              <w:rPr>
                <w:rFonts w:hint="eastAsia" w:ascii="宋体" w:hAnsi="宋体" w:cs="宋体"/>
                <w:kern w:val="0"/>
                <w:sz w:val="22"/>
                <w:szCs w:val="24"/>
              </w:rPr>
            </w:pPr>
          </w:p>
        </w:tc>
        <w:tc>
          <w:tcPr>
            <w:tcW w:w="966" w:type="pct"/>
            <w:vMerge w:val="continue"/>
            <w:vAlign w:val="center"/>
          </w:tcPr>
          <w:p>
            <w:pPr>
              <w:snapToGrid w:val="0"/>
              <w:jc w:val="center"/>
              <w:textAlignment w:val="center"/>
              <w:rPr>
                <w:rFonts w:hint="eastAsia" w:ascii="宋体" w:hAnsi="宋体" w:cs="宋体"/>
                <w:b/>
                <w:bCs/>
                <w:kern w:val="0"/>
                <w:sz w:val="22"/>
                <w:szCs w:val="24"/>
              </w:rPr>
            </w:pPr>
          </w:p>
        </w:tc>
        <w:tc>
          <w:tcPr>
            <w:tcW w:w="514" w:type="pct"/>
            <w:vAlign w:val="center"/>
          </w:tcPr>
          <w:p>
            <w:pPr>
              <w:snapToGrid w:val="0"/>
              <w:jc w:val="center"/>
              <w:textAlignment w:val="center"/>
              <w:rPr>
                <w:rFonts w:hint="eastAsia" w:ascii="宋体" w:hAnsi="宋体" w:cs="宋体"/>
                <w:kern w:val="0"/>
                <w:sz w:val="20"/>
                <w:szCs w:val="20"/>
              </w:rPr>
            </w:pPr>
            <w:r>
              <w:rPr>
                <w:rFonts w:hint="eastAsia" w:ascii="宋体" w:hAnsi="宋体" w:cs="宋体"/>
                <w:szCs w:val="21"/>
              </w:rPr>
              <w:t>布局方案</w:t>
            </w:r>
          </w:p>
        </w:tc>
        <w:tc>
          <w:tcPr>
            <w:tcW w:w="309" w:type="pct"/>
            <w:vAlign w:val="center"/>
          </w:tcPr>
          <w:p>
            <w:pPr>
              <w:snapToGrid w:val="0"/>
              <w:jc w:val="center"/>
              <w:textAlignment w:val="center"/>
              <w:rPr>
                <w:rFonts w:hint="eastAsia" w:ascii="宋体" w:hAnsi="宋体" w:cs="宋体"/>
                <w:kern w:val="0"/>
                <w:sz w:val="20"/>
                <w:szCs w:val="20"/>
              </w:rPr>
            </w:pPr>
            <w:r>
              <w:rPr>
                <w:rFonts w:hint="eastAsia" w:ascii="宋体" w:hAnsi="宋体" w:cs="宋体"/>
                <w:szCs w:val="21"/>
              </w:rPr>
              <w:t>10</w:t>
            </w:r>
          </w:p>
        </w:tc>
        <w:tc>
          <w:tcPr>
            <w:tcW w:w="2838" w:type="pct"/>
            <w:vAlign w:val="center"/>
          </w:tcPr>
          <w:p>
            <w:pPr>
              <w:snapToGrid w:val="0"/>
              <w:textAlignment w:val="center"/>
              <w:rPr>
                <w:rFonts w:hint="eastAsia" w:ascii="宋体" w:hAnsi="宋体" w:cs="宋体"/>
                <w:kern w:val="0"/>
              </w:rPr>
            </w:pPr>
            <w:r>
              <w:rPr>
                <w:rFonts w:hint="eastAsia" w:ascii="宋体" w:hAnsi="宋体" w:cs="宋体"/>
                <w:kern w:val="0"/>
              </w:rPr>
              <w:t>根据现场情况，</w:t>
            </w:r>
            <w:r>
              <w:rPr>
                <w:rFonts w:hint="eastAsia" w:ascii="宋体" w:hAnsi="宋体" w:cs="宋体"/>
                <w:szCs w:val="21"/>
              </w:rPr>
              <w:t>布局新颖突出，充分利用现有空间，完全满足功能需求，区域分割比重合理且衔接有序，参观人员动线合理且具有人性化考量的得</w:t>
            </w:r>
            <w:r>
              <w:rPr>
                <w:rFonts w:hint="eastAsia" w:ascii="宋体" w:hAnsi="宋体" w:cs="宋体"/>
                <w:kern w:val="0"/>
              </w:rPr>
              <w:t>10</w:t>
            </w:r>
            <w:r>
              <w:rPr>
                <w:rFonts w:hint="eastAsia" w:ascii="宋体" w:hAnsi="宋体" w:cs="宋体"/>
                <w:szCs w:val="21"/>
              </w:rPr>
              <w:t>分；布局较为新颖，较为充分利用现有空间，基本满足功能需求，区域分割比重和参观人员动线较为合理的得</w:t>
            </w:r>
            <w:r>
              <w:rPr>
                <w:rFonts w:hint="eastAsia" w:ascii="宋体" w:hAnsi="宋体" w:cs="宋体"/>
                <w:kern w:val="0"/>
              </w:rPr>
              <w:t>7</w:t>
            </w:r>
            <w:r>
              <w:rPr>
                <w:rFonts w:hint="eastAsia" w:ascii="宋体" w:hAnsi="宋体" w:cs="宋体"/>
                <w:szCs w:val="21"/>
              </w:rPr>
              <w:t>分；布局一般，现有空间利用不完全，区域分割比重一般，参观人员动线分配不太合理的得</w:t>
            </w:r>
            <w:r>
              <w:rPr>
                <w:rFonts w:hint="eastAsia" w:ascii="宋体" w:hAnsi="宋体" w:cs="宋体"/>
                <w:kern w:val="0"/>
              </w:rPr>
              <w:t>4</w:t>
            </w:r>
            <w:r>
              <w:rPr>
                <w:rFonts w:hint="eastAsia" w:ascii="宋体" w:hAnsi="宋体" w:cs="宋体"/>
                <w:szCs w:val="21"/>
              </w:rPr>
              <w:t>分；</w:t>
            </w:r>
            <w:r>
              <w:rPr>
                <w:rFonts w:hint="eastAsia" w:ascii="宋体" w:hAnsi="宋体" w:cs="宋体"/>
                <w:kern w:val="0"/>
              </w:rPr>
              <w:t>未提供不得分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71" w:type="pct"/>
            <w:vMerge w:val="continue"/>
            <w:vAlign w:val="center"/>
          </w:tcPr>
          <w:p>
            <w:pPr>
              <w:snapToGrid w:val="0"/>
              <w:jc w:val="center"/>
              <w:rPr>
                <w:rFonts w:hint="eastAsia" w:ascii="宋体" w:hAnsi="宋体" w:cs="宋体"/>
                <w:kern w:val="0"/>
                <w:sz w:val="22"/>
                <w:szCs w:val="24"/>
              </w:rPr>
            </w:pPr>
          </w:p>
        </w:tc>
        <w:tc>
          <w:tcPr>
            <w:tcW w:w="966" w:type="pct"/>
            <w:vMerge w:val="continue"/>
            <w:vAlign w:val="center"/>
          </w:tcPr>
          <w:p>
            <w:pPr>
              <w:snapToGrid w:val="0"/>
              <w:jc w:val="center"/>
              <w:textAlignment w:val="center"/>
              <w:rPr>
                <w:rFonts w:hint="eastAsia" w:ascii="宋体" w:hAnsi="宋体" w:cs="宋体"/>
                <w:b/>
                <w:bCs/>
                <w:kern w:val="0"/>
                <w:sz w:val="22"/>
                <w:szCs w:val="24"/>
              </w:rPr>
            </w:pPr>
          </w:p>
        </w:tc>
        <w:tc>
          <w:tcPr>
            <w:tcW w:w="514" w:type="pct"/>
            <w:vAlign w:val="center"/>
          </w:tcPr>
          <w:p>
            <w:pPr>
              <w:snapToGrid w:val="0"/>
              <w:jc w:val="center"/>
              <w:rPr>
                <w:rFonts w:hint="eastAsia" w:ascii="宋体" w:hAnsi="宋体" w:cs="宋体"/>
                <w:kern w:val="0"/>
              </w:rPr>
            </w:pPr>
            <w:r>
              <w:rPr>
                <w:rFonts w:hint="eastAsia" w:ascii="宋体" w:hAnsi="宋体" w:cs="宋体"/>
                <w:szCs w:val="21"/>
              </w:rPr>
              <w:t>设计效果</w:t>
            </w:r>
          </w:p>
        </w:tc>
        <w:tc>
          <w:tcPr>
            <w:tcW w:w="309" w:type="pct"/>
            <w:vAlign w:val="center"/>
          </w:tcPr>
          <w:p>
            <w:pPr>
              <w:snapToGrid w:val="0"/>
              <w:jc w:val="center"/>
              <w:rPr>
                <w:rFonts w:hint="eastAsia" w:ascii="宋体" w:hAnsi="宋体" w:cs="宋体"/>
                <w:kern w:val="0"/>
              </w:rPr>
            </w:pPr>
            <w:r>
              <w:rPr>
                <w:rFonts w:hint="eastAsia" w:ascii="宋体" w:hAnsi="宋体" w:cs="宋体"/>
                <w:szCs w:val="21"/>
              </w:rPr>
              <w:t>10</w:t>
            </w:r>
          </w:p>
        </w:tc>
        <w:tc>
          <w:tcPr>
            <w:tcW w:w="2838" w:type="pct"/>
            <w:vAlign w:val="center"/>
          </w:tcPr>
          <w:p>
            <w:pPr>
              <w:snapToGrid w:val="0"/>
              <w:textAlignment w:val="center"/>
              <w:rPr>
                <w:rFonts w:hint="eastAsia" w:ascii="宋体" w:hAnsi="宋体" w:cs="宋体"/>
                <w:kern w:val="0"/>
              </w:rPr>
            </w:pPr>
            <w:r>
              <w:rPr>
                <w:rFonts w:hint="eastAsia" w:ascii="宋体" w:hAnsi="宋体" w:cs="宋体"/>
                <w:kern w:val="0"/>
              </w:rPr>
              <w:t>根据现场情况，</w:t>
            </w:r>
            <w:r>
              <w:rPr>
                <w:rFonts w:hint="eastAsia" w:ascii="宋体" w:hAnsi="宋体" w:cs="宋体"/>
                <w:szCs w:val="21"/>
              </w:rPr>
              <w:t>设计理念先进新颖，空间设计具有原创性，材质色调和谐统一，平面视觉设计美观，重点突出，能够结合本项目特色元素做亮点设计的得</w:t>
            </w:r>
            <w:r>
              <w:rPr>
                <w:rFonts w:hint="eastAsia" w:ascii="宋体" w:hAnsi="宋体" w:cs="宋体"/>
                <w:kern w:val="0"/>
              </w:rPr>
              <w:t>10</w:t>
            </w:r>
            <w:r>
              <w:rPr>
                <w:rFonts w:hint="eastAsia" w:ascii="宋体" w:hAnsi="宋体" w:cs="宋体"/>
                <w:szCs w:val="21"/>
              </w:rPr>
              <w:t>分；设计理念较为新颖，空间设计具有特色，材质色调较为和谐，平面视觉设计较为美观的得</w:t>
            </w:r>
            <w:r>
              <w:rPr>
                <w:rFonts w:hint="eastAsia" w:ascii="宋体" w:hAnsi="宋体" w:cs="宋体"/>
                <w:kern w:val="0"/>
              </w:rPr>
              <w:t>7</w:t>
            </w:r>
            <w:r>
              <w:rPr>
                <w:rFonts w:hint="eastAsia" w:ascii="宋体" w:hAnsi="宋体" w:cs="宋体"/>
                <w:szCs w:val="21"/>
              </w:rPr>
              <w:t>分；设计理念较为一般，空间设计较为普通，材质色调不太和谐，平面视觉设计较为老套的得</w:t>
            </w:r>
            <w:r>
              <w:rPr>
                <w:rFonts w:hint="eastAsia" w:ascii="宋体" w:hAnsi="宋体" w:cs="宋体"/>
                <w:kern w:val="0"/>
              </w:rPr>
              <w:t>4</w:t>
            </w:r>
            <w:r>
              <w:rPr>
                <w:rFonts w:hint="eastAsia" w:ascii="宋体" w:hAnsi="宋体" w:cs="宋体"/>
                <w:szCs w:val="21"/>
              </w:rPr>
              <w:t>分；</w:t>
            </w:r>
            <w:r>
              <w:rPr>
                <w:rFonts w:hint="eastAsia" w:ascii="宋体" w:hAnsi="宋体" w:cs="宋体"/>
                <w:kern w:val="0"/>
              </w:rPr>
              <w:t>未提供不得分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71" w:type="pct"/>
            <w:vMerge w:val="continue"/>
            <w:vAlign w:val="center"/>
          </w:tcPr>
          <w:p>
            <w:pPr>
              <w:snapToGrid w:val="0"/>
              <w:jc w:val="center"/>
              <w:rPr>
                <w:rFonts w:hint="eastAsia" w:ascii="宋体" w:hAnsi="宋体" w:cs="宋体"/>
                <w:kern w:val="0"/>
                <w:sz w:val="22"/>
                <w:szCs w:val="24"/>
              </w:rPr>
            </w:pPr>
          </w:p>
        </w:tc>
        <w:tc>
          <w:tcPr>
            <w:tcW w:w="966" w:type="pct"/>
            <w:vMerge w:val="continue"/>
            <w:vAlign w:val="center"/>
          </w:tcPr>
          <w:p>
            <w:pPr>
              <w:snapToGrid w:val="0"/>
              <w:jc w:val="center"/>
              <w:textAlignment w:val="center"/>
              <w:rPr>
                <w:rFonts w:hint="eastAsia" w:ascii="宋体" w:hAnsi="宋体" w:cs="宋体"/>
                <w:b/>
                <w:bCs/>
                <w:kern w:val="0"/>
                <w:sz w:val="22"/>
                <w:szCs w:val="24"/>
              </w:rPr>
            </w:pPr>
          </w:p>
        </w:tc>
        <w:tc>
          <w:tcPr>
            <w:tcW w:w="514" w:type="pct"/>
            <w:vAlign w:val="center"/>
          </w:tcPr>
          <w:p>
            <w:pPr>
              <w:snapToGrid w:val="0"/>
              <w:jc w:val="center"/>
              <w:textAlignment w:val="center"/>
              <w:rPr>
                <w:rFonts w:hint="eastAsia" w:ascii="宋体" w:hAnsi="宋体" w:cs="宋体"/>
                <w:kern w:val="0"/>
              </w:rPr>
            </w:pPr>
            <w:r>
              <w:rPr>
                <w:rFonts w:hint="eastAsia" w:ascii="宋体" w:hAnsi="宋体" w:cs="宋体"/>
                <w:szCs w:val="21"/>
              </w:rPr>
              <w:t>设计深度</w:t>
            </w:r>
          </w:p>
        </w:tc>
        <w:tc>
          <w:tcPr>
            <w:tcW w:w="309" w:type="pct"/>
            <w:vAlign w:val="center"/>
          </w:tcPr>
          <w:p>
            <w:pPr>
              <w:snapToGrid w:val="0"/>
              <w:jc w:val="center"/>
              <w:textAlignment w:val="center"/>
              <w:rPr>
                <w:rFonts w:hint="eastAsia" w:ascii="宋体" w:hAnsi="宋体" w:cs="宋体"/>
                <w:kern w:val="0"/>
              </w:rPr>
            </w:pPr>
            <w:r>
              <w:rPr>
                <w:rFonts w:hint="eastAsia" w:ascii="宋体" w:hAnsi="宋体" w:cs="宋体"/>
                <w:szCs w:val="21"/>
              </w:rPr>
              <w:t>10</w:t>
            </w:r>
          </w:p>
        </w:tc>
        <w:tc>
          <w:tcPr>
            <w:tcW w:w="2838" w:type="pct"/>
            <w:vAlign w:val="center"/>
          </w:tcPr>
          <w:p>
            <w:pPr>
              <w:pStyle w:val="18"/>
              <w:spacing w:line="240" w:lineRule="auto"/>
              <w:ind w:left="0" w:firstLine="0" w:firstLineChars="0"/>
              <w:rPr>
                <w:rFonts w:hint="eastAsia" w:ascii="宋体" w:hAnsi="宋体" w:cs="宋体" w:eastAsiaTheme="minorEastAsia"/>
                <w:kern w:val="0"/>
                <w:sz w:val="21"/>
              </w:rPr>
            </w:pPr>
            <w:r>
              <w:rPr>
                <w:rFonts w:hint="eastAsia" w:ascii="宋体" w:hAnsi="宋体" w:cs="宋体" w:eastAsiaTheme="minorEastAsia"/>
                <w:kern w:val="0"/>
                <w:sz w:val="21"/>
              </w:rPr>
              <w:t>根据现场情况，设计方案总体符合设计要求，内容准确、完整、有创新，图纸设计完整、规范，平面图、设计效果图、工程量清单等完整详细的得10分；设计方案总体较符合设计要求，内容较准确、较完整、较有一定创新，图纸设计、工程量清单较完整规范的得7分；设计方案总体与设计要求有一定差距，在内容准确性、完整性上有提升空间，图纸设计、工程量清单的完整规范性有待提高的得4分；未提供不得分。</w:t>
            </w:r>
          </w:p>
          <w:p>
            <w:pPr>
              <w:pStyle w:val="18"/>
              <w:spacing w:line="240" w:lineRule="auto"/>
              <w:ind w:left="0" w:firstLine="0" w:firstLineChars="0"/>
              <w:rPr>
                <w:rFonts w:hint="eastAsia"/>
              </w:rPr>
            </w:pPr>
            <w:r>
              <w:rPr>
                <w:rFonts w:hint="eastAsia" w:ascii="宋体" w:hAnsi="宋体" w:cs="宋体" w:eastAsiaTheme="minorEastAsia"/>
                <w:kern w:val="0"/>
                <w:sz w:val="21"/>
              </w:rPr>
              <w:t>注：提供的工程量清单只体现工程量，不能含有任何价格，否则作无效响应处理。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71" w:type="pct"/>
            <w:vMerge w:val="restart"/>
            <w:vAlign w:val="center"/>
          </w:tcPr>
          <w:p>
            <w:pPr>
              <w:snapToGrid w:val="0"/>
              <w:jc w:val="center"/>
              <w:rPr>
                <w:rFonts w:hint="eastAsia" w:ascii="宋体" w:hAnsi="宋体" w:cs="宋体"/>
                <w:kern w:val="0"/>
              </w:rPr>
            </w:pPr>
            <w:r>
              <w:rPr>
                <w:rFonts w:hint="eastAsia" w:ascii="宋体" w:hAnsi="宋体" w:cs="宋体"/>
                <w:kern w:val="0"/>
              </w:rPr>
              <w:t>3</w:t>
            </w:r>
          </w:p>
        </w:tc>
        <w:tc>
          <w:tcPr>
            <w:tcW w:w="966" w:type="pct"/>
            <w:vMerge w:val="restart"/>
            <w:vAlign w:val="center"/>
          </w:tcPr>
          <w:p>
            <w:pPr>
              <w:snapToGrid w:val="0"/>
              <w:jc w:val="center"/>
              <w:rPr>
                <w:rFonts w:hint="eastAsia" w:ascii="宋体" w:hAnsi="宋体" w:cs="宋体"/>
                <w:kern w:val="0"/>
              </w:rPr>
            </w:pPr>
            <w:r>
              <w:rPr>
                <w:rFonts w:hint="eastAsia" w:ascii="宋体" w:hAnsi="宋体" w:cs="宋体"/>
                <w:b/>
                <w:bCs/>
                <w:szCs w:val="21"/>
              </w:rPr>
              <w:t>施工方案（30分）</w:t>
            </w:r>
          </w:p>
        </w:tc>
        <w:tc>
          <w:tcPr>
            <w:tcW w:w="514" w:type="pct"/>
            <w:vAlign w:val="center"/>
          </w:tcPr>
          <w:p>
            <w:pPr>
              <w:snapToGrid w:val="0"/>
              <w:jc w:val="center"/>
              <w:textAlignment w:val="center"/>
              <w:rPr>
                <w:rFonts w:hint="eastAsia" w:ascii="宋体" w:hAnsi="宋体" w:cs="宋体"/>
                <w:kern w:val="0"/>
              </w:rPr>
            </w:pPr>
            <w:r>
              <w:rPr>
                <w:rFonts w:hint="eastAsia" w:ascii="宋体" w:hAnsi="宋体" w:cs="宋体"/>
                <w:szCs w:val="21"/>
              </w:rPr>
              <w:t>总体实施方案及要点</w:t>
            </w:r>
          </w:p>
        </w:tc>
        <w:tc>
          <w:tcPr>
            <w:tcW w:w="309" w:type="pct"/>
            <w:vAlign w:val="center"/>
          </w:tcPr>
          <w:p>
            <w:pPr>
              <w:snapToGrid w:val="0"/>
              <w:jc w:val="center"/>
              <w:textAlignment w:val="center"/>
              <w:rPr>
                <w:rFonts w:hint="eastAsia" w:ascii="宋体" w:hAnsi="宋体" w:cs="宋体"/>
                <w:kern w:val="0"/>
              </w:rPr>
            </w:pPr>
            <w:r>
              <w:rPr>
                <w:rFonts w:hint="eastAsia" w:ascii="宋体" w:hAnsi="宋体" w:cs="宋体"/>
                <w:szCs w:val="21"/>
              </w:rPr>
              <w:t>6</w:t>
            </w:r>
          </w:p>
        </w:tc>
        <w:tc>
          <w:tcPr>
            <w:tcW w:w="2838" w:type="pct"/>
            <w:vAlign w:val="center"/>
          </w:tcPr>
          <w:p>
            <w:pPr>
              <w:pStyle w:val="18"/>
              <w:spacing w:line="240" w:lineRule="auto"/>
              <w:ind w:left="0" w:firstLine="0" w:firstLineChars="0"/>
              <w:rPr>
                <w:rFonts w:hint="eastAsia" w:ascii="宋体" w:hAnsi="宋体" w:cs="宋体" w:eastAsiaTheme="minorEastAsia"/>
                <w:kern w:val="0"/>
                <w:sz w:val="21"/>
              </w:rPr>
            </w:pPr>
            <w:r>
              <w:rPr>
                <w:rFonts w:hint="eastAsia" w:ascii="宋体" w:hAnsi="宋体" w:cs="宋体" w:eastAsiaTheme="minorEastAsia"/>
                <w:kern w:val="0"/>
                <w:sz w:val="21"/>
              </w:rPr>
              <w:t>施工组织总体设想、方案针对性强，施工实施方案切实可行，物资及项目人员准备充分，职责明晰的得6分；施工组织总体设想、方案针对性较强，施工实施方案较为可行，物资及项目人员较为充分，职责较为明确的得4分；施工组织总体设想、方案针对性一般，施工实施方案可行性一般，物资及项目人员不充分，职责不明确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71" w:type="pct"/>
            <w:vMerge w:val="continue"/>
            <w:vAlign w:val="center"/>
          </w:tcPr>
          <w:p>
            <w:pPr>
              <w:snapToGrid w:val="0"/>
              <w:jc w:val="center"/>
              <w:rPr>
                <w:rFonts w:hint="eastAsia" w:ascii="宋体" w:hAnsi="宋体" w:cs="宋体"/>
                <w:kern w:val="0"/>
              </w:rPr>
            </w:pPr>
          </w:p>
        </w:tc>
        <w:tc>
          <w:tcPr>
            <w:tcW w:w="966" w:type="pct"/>
            <w:vMerge w:val="continue"/>
            <w:vAlign w:val="center"/>
          </w:tcPr>
          <w:p>
            <w:pPr>
              <w:snapToGrid w:val="0"/>
              <w:jc w:val="center"/>
              <w:rPr>
                <w:rFonts w:hint="eastAsia" w:ascii="宋体" w:hAnsi="宋体" w:cs="宋体"/>
                <w:b/>
                <w:bCs/>
                <w:szCs w:val="21"/>
              </w:rPr>
            </w:pPr>
          </w:p>
        </w:tc>
        <w:tc>
          <w:tcPr>
            <w:tcW w:w="514" w:type="pct"/>
            <w:vAlign w:val="center"/>
          </w:tcPr>
          <w:p>
            <w:pPr>
              <w:snapToGrid w:val="0"/>
              <w:jc w:val="center"/>
              <w:textAlignment w:val="center"/>
              <w:rPr>
                <w:rFonts w:hint="eastAsia" w:ascii="宋体" w:hAnsi="宋体" w:cs="宋体"/>
                <w:kern w:val="0"/>
              </w:rPr>
            </w:pPr>
            <w:r>
              <w:rPr>
                <w:rFonts w:hint="eastAsia" w:ascii="宋体" w:hAnsi="宋体" w:cs="宋体"/>
                <w:szCs w:val="21"/>
              </w:rPr>
              <w:t>工程进度计划与措施</w:t>
            </w:r>
          </w:p>
        </w:tc>
        <w:tc>
          <w:tcPr>
            <w:tcW w:w="309" w:type="pct"/>
            <w:vAlign w:val="center"/>
          </w:tcPr>
          <w:p>
            <w:pPr>
              <w:snapToGrid w:val="0"/>
              <w:jc w:val="center"/>
              <w:textAlignment w:val="center"/>
              <w:rPr>
                <w:rFonts w:hint="eastAsia" w:ascii="宋体" w:hAnsi="宋体" w:cs="宋体"/>
                <w:kern w:val="0"/>
              </w:rPr>
            </w:pPr>
            <w:r>
              <w:rPr>
                <w:rFonts w:hint="eastAsia" w:ascii="宋体" w:hAnsi="宋体" w:cs="宋体"/>
                <w:szCs w:val="21"/>
              </w:rPr>
              <w:t>8</w:t>
            </w:r>
          </w:p>
        </w:tc>
        <w:tc>
          <w:tcPr>
            <w:tcW w:w="2838" w:type="pct"/>
            <w:vAlign w:val="center"/>
          </w:tcPr>
          <w:p>
            <w:pPr>
              <w:pStyle w:val="18"/>
              <w:spacing w:line="240" w:lineRule="auto"/>
              <w:ind w:left="0" w:firstLine="0" w:firstLineChars="0"/>
              <w:rPr>
                <w:rFonts w:hint="eastAsia" w:ascii="宋体" w:hAnsi="宋体" w:cs="宋体" w:eastAsiaTheme="minorEastAsia"/>
                <w:kern w:val="0"/>
                <w:sz w:val="21"/>
              </w:rPr>
            </w:pPr>
            <w:r>
              <w:rPr>
                <w:rFonts w:hint="eastAsia" w:ascii="宋体" w:hAnsi="宋体" w:cs="宋体" w:eastAsiaTheme="minorEastAsia"/>
                <w:kern w:val="0"/>
                <w:sz w:val="21"/>
              </w:rPr>
              <w:t>工程进度计划与措施细致全面，相关工作服务及进度安排合理的得8分；工程进度计划与措施较细致全面，相关工作服务及进度安排较合理的得6分；工程进度计划与措施不够细致全面，相关工作服务及进度安排不够合理、分工不够明确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71" w:type="pct"/>
            <w:vMerge w:val="continue"/>
            <w:vAlign w:val="center"/>
          </w:tcPr>
          <w:p>
            <w:pPr>
              <w:snapToGrid w:val="0"/>
              <w:jc w:val="center"/>
              <w:rPr>
                <w:rFonts w:hint="eastAsia" w:ascii="宋体" w:hAnsi="宋体" w:cs="宋体"/>
                <w:kern w:val="0"/>
              </w:rPr>
            </w:pPr>
          </w:p>
        </w:tc>
        <w:tc>
          <w:tcPr>
            <w:tcW w:w="966" w:type="pct"/>
            <w:vMerge w:val="continue"/>
            <w:vAlign w:val="center"/>
          </w:tcPr>
          <w:p>
            <w:pPr>
              <w:snapToGrid w:val="0"/>
              <w:jc w:val="center"/>
              <w:rPr>
                <w:rFonts w:hint="eastAsia" w:ascii="宋体" w:hAnsi="宋体" w:cs="宋体"/>
                <w:b/>
                <w:bCs/>
                <w:szCs w:val="21"/>
              </w:rPr>
            </w:pPr>
          </w:p>
        </w:tc>
        <w:tc>
          <w:tcPr>
            <w:tcW w:w="514" w:type="pct"/>
            <w:vAlign w:val="center"/>
          </w:tcPr>
          <w:p>
            <w:pPr>
              <w:snapToGrid w:val="0"/>
              <w:jc w:val="center"/>
              <w:textAlignment w:val="center"/>
              <w:rPr>
                <w:rFonts w:hint="eastAsia" w:ascii="宋体" w:hAnsi="宋体" w:cs="宋体"/>
                <w:kern w:val="0"/>
              </w:rPr>
            </w:pPr>
            <w:r>
              <w:rPr>
                <w:rFonts w:hint="eastAsia" w:ascii="宋体" w:hAnsi="宋体" w:cs="宋体"/>
                <w:szCs w:val="21"/>
              </w:rPr>
              <w:t>施工工艺说明</w:t>
            </w:r>
          </w:p>
        </w:tc>
        <w:tc>
          <w:tcPr>
            <w:tcW w:w="309" w:type="pct"/>
            <w:vAlign w:val="center"/>
          </w:tcPr>
          <w:p>
            <w:pPr>
              <w:snapToGrid w:val="0"/>
              <w:jc w:val="center"/>
              <w:textAlignment w:val="center"/>
              <w:rPr>
                <w:rFonts w:hint="eastAsia" w:ascii="宋体" w:hAnsi="宋体" w:cs="宋体"/>
                <w:kern w:val="0"/>
              </w:rPr>
            </w:pPr>
            <w:r>
              <w:rPr>
                <w:rFonts w:hint="eastAsia" w:ascii="宋体" w:hAnsi="宋体" w:cs="宋体"/>
                <w:szCs w:val="21"/>
              </w:rPr>
              <w:t>8</w:t>
            </w:r>
          </w:p>
        </w:tc>
        <w:tc>
          <w:tcPr>
            <w:tcW w:w="2838" w:type="pct"/>
            <w:vAlign w:val="center"/>
          </w:tcPr>
          <w:p>
            <w:pPr>
              <w:pStyle w:val="18"/>
              <w:spacing w:line="240" w:lineRule="auto"/>
              <w:ind w:left="0" w:firstLine="0" w:firstLineChars="0"/>
              <w:rPr>
                <w:rFonts w:hint="eastAsia" w:ascii="宋体" w:hAnsi="宋体" w:cs="宋体" w:eastAsiaTheme="minorEastAsia"/>
                <w:kern w:val="0"/>
                <w:sz w:val="21"/>
              </w:rPr>
            </w:pPr>
            <w:r>
              <w:rPr>
                <w:rFonts w:hint="eastAsia" w:ascii="宋体" w:hAnsi="宋体" w:cs="宋体" w:eastAsiaTheme="minorEastAsia"/>
                <w:kern w:val="0"/>
                <w:sz w:val="21"/>
              </w:rPr>
              <w:t>对重点难点区域制作工艺及现场安装工艺编制的措施方案完善详细的得8分；对重点难点区域制作工艺及现场安装工艺编制的措施方案较完善详细的得6分；对重点难点区域制作工艺及现场安装工艺编制的措施方案不够完善详细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371" w:type="pct"/>
            <w:vMerge w:val="continue"/>
            <w:vAlign w:val="center"/>
          </w:tcPr>
          <w:p>
            <w:pPr>
              <w:snapToGrid w:val="0"/>
              <w:jc w:val="center"/>
              <w:rPr>
                <w:rFonts w:hint="eastAsia" w:ascii="宋体" w:hAnsi="宋体" w:cs="宋体"/>
                <w:kern w:val="0"/>
              </w:rPr>
            </w:pPr>
          </w:p>
        </w:tc>
        <w:tc>
          <w:tcPr>
            <w:tcW w:w="966" w:type="pct"/>
            <w:vMerge w:val="continue"/>
            <w:vAlign w:val="center"/>
          </w:tcPr>
          <w:p>
            <w:pPr>
              <w:snapToGrid w:val="0"/>
              <w:jc w:val="center"/>
              <w:rPr>
                <w:rFonts w:hint="eastAsia" w:ascii="宋体" w:hAnsi="宋体" w:cs="宋体"/>
                <w:b/>
                <w:bCs/>
                <w:szCs w:val="21"/>
              </w:rPr>
            </w:pPr>
          </w:p>
        </w:tc>
        <w:tc>
          <w:tcPr>
            <w:tcW w:w="514" w:type="pct"/>
            <w:vAlign w:val="center"/>
          </w:tcPr>
          <w:p>
            <w:pPr>
              <w:snapToGrid w:val="0"/>
              <w:jc w:val="center"/>
              <w:textAlignment w:val="center"/>
              <w:rPr>
                <w:rFonts w:hint="eastAsia" w:ascii="宋体" w:hAnsi="宋体" w:cs="宋体"/>
                <w:kern w:val="0"/>
              </w:rPr>
            </w:pPr>
            <w:r>
              <w:rPr>
                <w:rFonts w:hint="eastAsia" w:ascii="宋体" w:hAnsi="宋体" w:cs="宋体"/>
                <w:szCs w:val="21"/>
              </w:rPr>
              <w:t>质量、安全目标与措施</w:t>
            </w:r>
          </w:p>
        </w:tc>
        <w:tc>
          <w:tcPr>
            <w:tcW w:w="309" w:type="pct"/>
            <w:vAlign w:val="center"/>
          </w:tcPr>
          <w:p>
            <w:pPr>
              <w:snapToGrid w:val="0"/>
              <w:jc w:val="center"/>
              <w:textAlignment w:val="center"/>
              <w:rPr>
                <w:rFonts w:hint="eastAsia" w:ascii="宋体" w:hAnsi="宋体" w:cs="宋体"/>
                <w:kern w:val="0"/>
              </w:rPr>
            </w:pPr>
            <w:r>
              <w:rPr>
                <w:rFonts w:hint="eastAsia" w:ascii="宋体" w:hAnsi="宋体" w:cs="宋体"/>
                <w:kern w:val="0"/>
              </w:rPr>
              <w:t>8</w:t>
            </w:r>
          </w:p>
        </w:tc>
        <w:tc>
          <w:tcPr>
            <w:tcW w:w="2838" w:type="pct"/>
            <w:vAlign w:val="center"/>
          </w:tcPr>
          <w:p>
            <w:pPr>
              <w:pStyle w:val="18"/>
              <w:spacing w:line="240" w:lineRule="auto"/>
              <w:ind w:left="0" w:firstLine="0" w:firstLineChars="0"/>
              <w:rPr>
                <w:rFonts w:hint="eastAsia" w:ascii="宋体" w:hAnsi="宋体" w:cs="宋体" w:eastAsiaTheme="minorEastAsia"/>
                <w:kern w:val="0"/>
                <w:sz w:val="21"/>
              </w:rPr>
            </w:pPr>
            <w:r>
              <w:rPr>
                <w:rFonts w:hint="eastAsia" w:ascii="宋体" w:hAnsi="宋体" w:cs="宋体" w:eastAsiaTheme="minorEastAsia"/>
                <w:kern w:val="0"/>
                <w:sz w:val="21"/>
              </w:rPr>
              <w:t>质量、安全目标与措施科学合理，可行性强的得8分；质量、安全目标与措施较科学合理的得6分；质量、安全目标与措施不够科学合理的得4分；未提供不得分。</w:t>
            </w:r>
          </w:p>
        </w:tc>
      </w:tr>
    </w:tbl>
    <w:p>
      <w:pPr>
        <w:spacing w:line="360" w:lineRule="auto"/>
        <w:ind w:firstLine="482" w:firstLineChars="20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注：1、以上</w:t>
      </w:r>
      <w:r>
        <w:rPr>
          <w:rFonts w:hint="eastAsia" w:asciiTheme="minorEastAsia" w:hAnsiTheme="minorEastAsia"/>
          <w:b/>
          <w:color w:val="000000" w:themeColor="text1"/>
          <w:sz w:val="24"/>
          <w:szCs w:val="24"/>
          <w14:textFill>
            <w14:solidFill>
              <w14:schemeClr w14:val="tx1"/>
            </w14:solidFill>
          </w14:textFill>
        </w:rPr>
        <w:t>技术标</w:t>
      </w:r>
      <w:r>
        <w:rPr>
          <w:rFonts w:hint="eastAsia" w:asciiTheme="minorEastAsia" w:hAnsiTheme="minorEastAsia"/>
          <w:b/>
          <w:bCs/>
          <w:color w:val="000000" w:themeColor="text1"/>
          <w:sz w:val="24"/>
          <w:szCs w:val="24"/>
          <w14:textFill>
            <w14:solidFill>
              <w14:schemeClr w14:val="tx1"/>
            </w14:solidFill>
          </w14:textFill>
        </w:rPr>
        <w:t>涉及的证书、证明材料、合同等相关原件备查。</w:t>
      </w:r>
      <w:r>
        <w:rPr>
          <w:rFonts w:hint="eastAsia" w:asciiTheme="minorEastAsia" w:hAnsiTheme="minorEastAsia"/>
          <w:b/>
          <w:color w:val="000000" w:themeColor="text1"/>
          <w:sz w:val="24"/>
          <w:szCs w:val="24"/>
          <w14:textFill>
            <w14:solidFill>
              <w14:schemeClr w14:val="tx1"/>
            </w14:solidFill>
          </w14:textFill>
        </w:rPr>
        <w:t>因投标人自身原因，在评标工作期间，不能及时、完整、有效提供相关原件以供评委会查询，由此导致不利于投标文件的评审后果由投标人承担。</w:t>
      </w:r>
    </w:p>
    <w:p>
      <w:pPr>
        <w:snapToGrid w:val="0"/>
        <w:spacing w:line="360" w:lineRule="auto"/>
        <w:ind w:firstLine="964" w:firstLineChars="4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2、当磋商小组成员为5人（含5人）以上的，商务技术分是在去掉一个最高分和一个最低分后均算而成，当磋商小组成员少于5人时，技术分按算术平均值计算，分值四舍五入保留两位小数。</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firstLineChars="3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本办法未尽事宜，由评委会依据有关法规研究解决。</w:t>
      </w:r>
    </w:p>
    <w:p>
      <w:pPr>
        <w:pStyle w:val="17"/>
        <w:tabs>
          <w:tab w:val="left" w:pos="720"/>
          <w:tab w:val="clear" w:pos="916"/>
        </w:tabs>
        <w:spacing w:line="360" w:lineRule="auto"/>
        <w:rPr>
          <w:rFonts w:hint="eastAsia" w:asciiTheme="minorEastAsia" w:hAnsiTheme="minorEastAsia"/>
          <w:color w:val="000000" w:themeColor="text1"/>
          <w:kern w:val="2"/>
          <w:szCs w:val="24"/>
          <w14:textFill>
            <w14:solidFill>
              <w14:schemeClr w14:val="tx1"/>
            </w14:solidFill>
          </w14:textFill>
        </w:rPr>
      </w:pPr>
      <w:r>
        <w:rPr>
          <w:rFonts w:hint="eastAsia" w:asciiTheme="minorEastAsia" w:hAnsiTheme="minorEastAsia"/>
          <w:color w:val="000000" w:themeColor="text1"/>
          <w:kern w:val="2"/>
          <w:szCs w:val="24"/>
          <w14:textFill>
            <w14:solidFill>
              <w14:schemeClr w14:val="tx1"/>
            </w14:solidFill>
          </w14:textFill>
        </w:rPr>
        <w:t xml:space="preserve">（四） 总得分 =价格分 + 技术分 </w:t>
      </w:r>
    </w:p>
    <w:p>
      <w:pPr>
        <w:pStyle w:val="17"/>
        <w:tabs>
          <w:tab w:val="left" w:pos="720"/>
          <w:tab w:val="clear" w:pos="916"/>
        </w:tabs>
        <w:spacing w:line="400" w:lineRule="exact"/>
        <w:rPr>
          <w:rFonts w:hint="eastAsia"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kern w:val="2"/>
          <w:szCs w:val="24"/>
          <w14:textFill>
            <w14:solidFill>
              <w14:schemeClr w14:val="tx1"/>
            </w14:solidFill>
          </w14:textFill>
        </w:rPr>
        <w:t>（五） 中标标准：评标结果按评审后总得分由高到低顺序排列。总得分相同的，按投标报价由低到高顺序排列。总得分且投标报价相同的并列。投标文件满足招标文件全部实质性要求，且按照评审因素的量化指标评审得分最高的投标人为排名第一的中标候选人。</w:t>
      </w:r>
    </w:p>
    <w:p>
      <w:pPr>
        <w:pStyle w:val="17"/>
        <w:tabs>
          <w:tab w:val="left" w:pos="720"/>
          <w:tab w:val="clear" w:pos="916"/>
        </w:tabs>
        <w:spacing w:line="400" w:lineRule="exact"/>
        <w:rPr>
          <w:rFonts w:hint="eastAsia" w:asciiTheme="minorEastAsia" w:hAnsiTheme="minorEastAsia"/>
          <w:color w:val="000000" w:themeColor="text1"/>
          <w:szCs w:val="24"/>
          <w14:textFill>
            <w14:solidFill>
              <w14:schemeClr w14:val="tx1"/>
            </w14:solidFill>
          </w14:textFill>
        </w:rPr>
      </w:pPr>
    </w:p>
    <w:p>
      <w:pPr>
        <w:pStyle w:val="30"/>
        <w:snapToGrid w:val="0"/>
        <w:spacing w:line="300" w:lineRule="auto"/>
        <w:ind w:firstLine="0" w:firstLineChars="0"/>
        <w:contextualSpacing/>
        <w:rPr>
          <w:rFonts w:hint="eastAsia" w:asciiTheme="minorEastAsia" w:hAnsiTheme="minorEastAsia" w:eastAsiaTheme="minorEastAsia"/>
          <w:color w:val="000000" w:themeColor="text1"/>
          <w:sz w:val="24"/>
          <w:szCs w:val="24"/>
          <w14:textFill>
            <w14:solidFill>
              <w14:schemeClr w14:val="tx1"/>
            </w14:solidFill>
          </w14:textFill>
        </w:rPr>
      </w:pPr>
    </w:p>
    <w:p>
      <w:pPr>
        <w:pStyle w:val="30"/>
        <w:snapToGrid w:val="0"/>
        <w:spacing w:line="300" w:lineRule="auto"/>
        <w:ind w:firstLine="0" w:firstLineChars="0"/>
        <w:contextualSpacing/>
        <w:rPr>
          <w:rFonts w:hint="eastAsia" w:asciiTheme="minorEastAsia" w:hAnsiTheme="minorEastAsia" w:eastAsiaTheme="minorEastAsia"/>
          <w:color w:val="000000" w:themeColor="text1"/>
          <w:sz w:val="24"/>
          <w:szCs w:val="24"/>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p>
    <w:p>
      <w:pPr>
        <w:pStyle w:val="11"/>
        <w:jc w:val="center"/>
        <w:outlineLvl w:val="0"/>
        <w:rPr>
          <w:rFonts w:hint="eastAsia" w:asciiTheme="minorEastAsia" w:hAnsiTheme="minorEastAsia"/>
          <w:b/>
          <w:color w:val="000000" w:themeColor="text1"/>
          <w:sz w:val="36"/>
          <w14:textFill>
            <w14:solidFill>
              <w14:schemeClr w14:val="tx1"/>
            </w14:solidFill>
          </w14:textFill>
        </w:rPr>
      </w:pPr>
      <w:r>
        <w:rPr>
          <w:rFonts w:hint="eastAsia" w:asciiTheme="minorEastAsia" w:hAnsiTheme="minorEastAsia"/>
          <w:b/>
          <w:color w:val="000000" w:themeColor="text1"/>
          <w:sz w:val="36"/>
          <w14:textFill>
            <w14:solidFill>
              <w14:schemeClr w14:val="tx1"/>
            </w14:solidFill>
          </w14:textFill>
        </w:rPr>
        <w:t>第五章   合同主要条款表</w:t>
      </w:r>
    </w:p>
    <w:p>
      <w:pPr>
        <w:pStyle w:val="11"/>
        <w:rPr>
          <w:rFonts w:hint="eastAsia" w:asciiTheme="minorEastAsia" w:hAnsiTheme="minorEastAsia"/>
          <w:color w:val="000000" w:themeColor="text1"/>
          <w14:textFill>
            <w14:solidFill>
              <w14:schemeClr w14:val="tx1"/>
            </w14:solidFill>
          </w14:textFill>
        </w:rPr>
      </w:pPr>
    </w:p>
    <w:p>
      <w:pPr>
        <w:spacing w:line="360" w:lineRule="auto"/>
        <w:ind w:firstLine="562" w:firstLineChars="200"/>
        <w:rPr>
          <w:rFonts w:hint="eastAsia" w:ascii="宋体" w:hAnsi="宋体" w:cs="宋体"/>
          <w:b/>
          <w:sz w:val="28"/>
          <w:szCs w:val="28"/>
          <w:u w:val="single"/>
        </w:rPr>
      </w:pPr>
      <w:r>
        <w:rPr>
          <w:rFonts w:hint="eastAsia" w:ascii="宋体" w:hAnsi="宋体" w:cs="宋体"/>
          <w:b/>
          <w:sz w:val="28"/>
          <w:szCs w:val="28"/>
        </w:rPr>
        <w:t>委托方（以下简称甲方）：</w:t>
      </w:r>
      <w:r>
        <w:rPr>
          <w:rFonts w:hint="eastAsia" w:ascii="宋体" w:hAnsi="宋体" w:cs="宋体"/>
          <w:b/>
          <w:sz w:val="28"/>
          <w:szCs w:val="28"/>
          <w:u w:val="single"/>
        </w:rPr>
        <w:t xml:space="preserve">                             </w:t>
      </w:r>
    </w:p>
    <w:p>
      <w:pPr>
        <w:spacing w:line="360" w:lineRule="auto"/>
        <w:ind w:firstLine="562" w:firstLineChars="200"/>
        <w:rPr>
          <w:rFonts w:hint="eastAsia" w:ascii="宋体" w:hAnsi="宋体" w:cs="宋体"/>
          <w:b/>
          <w:sz w:val="28"/>
          <w:szCs w:val="28"/>
        </w:rPr>
      </w:pPr>
      <w:r>
        <w:rPr>
          <w:rFonts w:hint="eastAsia" w:ascii="宋体" w:hAnsi="宋体" w:cs="宋体"/>
          <w:b/>
          <w:bCs/>
          <w:sz w:val="28"/>
          <w:szCs w:val="28"/>
        </w:rPr>
        <w:t>受托方（以下简称乙方）：</w:t>
      </w:r>
      <w:r>
        <w:rPr>
          <w:rFonts w:hint="eastAsia" w:ascii="宋体" w:hAnsi="宋体" w:cs="宋体"/>
          <w:b/>
          <w:sz w:val="28"/>
          <w:szCs w:val="28"/>
          <w:u w:val="single"/>
        </w:rPr>
        <w:t xml:space="preserve">                           </w:t>
      </w:r>
      <w:r>
        <w:rPr>
          <w:rFonts w:hint="eastAsia" w:ascii="宋体" w:hAnsi="宋体" w:cs="宋体"/>
          <w:sz w:val="28"/>
          <w:szCs w:val="28"/>
          <w:u w:val="single"/>
        </w:rPr>
        <w:t xml:space="preserve">  </w:t>
      </w:r>
    </w:p>
    <w:p>
      <w:pPr>
        <w:spacing w:line="384" w:lineRule="auto"/>
        <w:ind w:firstLine="480" w:firstLineChars="200"/>
        <w:rPr>
          <w:rFonts w:cs="宋体"/>
          <w:sz w:val="24"/>
          <w:szCs w:val="24"/>
        </w:rPr>
      </w:pPr>
      <w:r>
        <w:rPr>
          <w:rFonts w:hint="eastAsia" w:ascii="宋体" w:hAnsi="宋体" w:cs="宋体"/>
          <w:sz w:val="24"/>
          <w:szCs w:val="24"/>
        </w:rPr>
        <w:t>甲乙双方就甲方委托乙方为其</w:t>
      </w:r>
      <w:r>
        <w:rPr>
          <w:rFonts w:hint="eastAsia" w:ascii="宋体" w:hAnsi="宋体" w:cs="宋体"/>
          <w:sz w:val="24"/>
          <w:szCs w:val="24"/>
          <w:u w:val="single"/>
        </w:rPr>
        <w:t xml:space="preserve">                         </w:t>
      </w:r>
      <w:r>
        <w:rPr>
          <w:rFonts w:hint="eastAsia" w:ascii="宋体" w:hAnsi="宋体" w:cs="宋体"/>
          <w:sz w:val="24"/>
          <w:szCs w:val="24"/>
        </w:rPr>
        <w:t>提供装修布展施工服务事宜，依照国家有关法律法规和政策规定，经双方友好协商，达成如下合同，双方共同执行。</w:t>
      </w:r>
      <w:bookmarkStart w:id="3" w:name="_Toc516238986"/>
      <w:r>
        <w:rPr>
          <w:rFonts w:hint="eastAsia" w:cs="宋体"/>
          <w:b/>
          <w:bCs/>
          <w:sz w:val="24"/>
          <w:szCs w:val="24"/>
        </w:rPr>
        <w:t>一.项目概况</w:t>
      </w:r>
      <w:bookmarkEnd w:id="3"/>
    </w:p>
    <w:p>
      <w:pPr>
        <w:pStyle w:val="36"/>
        <w:spacing w:line="384" w:lineRule="auto"/>
        <w:ind w:left="560"/>
        <w:rPr>
          <w:rFonts w:hint="eastAsia" w:ascii="宋体" w:hAnsi="宋体" w:cs="宋体"/>
          <w:b/>
          <w:u w:val="single"/>
          <w:lang w:eastAsia="zh-CN"/>
        </w:rPr>
      </w:pPr>
      <w:r>
        <w:rPr>
          <w:rFonts w:hint="eastAsia" w:ascii="宋体" w:hAnsi="宋体" w:cs="宋体"/>
          <w:lang w:eastAsia="zh-CN"/>
        </w:rPr>
        <w:t>1.项目名称：</w:t>
      </w:r>
      <w:r>
        <w:rPr>
          <w:rFonts w:hint="eastAsia" w:ascii="宋体" w:hAnsi="宋体" w:cs="宋体"/>
          <w:b/>
          <w:bCs/>
          <w:u w:val="single"/>
          <w:lang w:eastAsia="zh-CN"/>
        </w:rPr>
        <w:t>南通市总工会职工之家阵地建设项目</w:t>
      </w:r>
    </w:p>
    <w:p>
      <w:pPr>
        <w:pStyle w:val="36"/>
        <w:spacing w:line="384" w:lineRule="auto"/>
        <w:ind w:left="560"/>
        <w:rPr>
          <w:rFonts w:hint="eastAsia" w:ascii="宋体" w:hAnsi="宋体" w:cs="宋体"/>
          <w:lang w:eastAsia="zh-CN"/>
        </w:rPr>
      </w:pPr>
      <w:r>
        <w:rPr>
          <w:rFonts w:hint="eastAsia" w:ascii="宋体" w:hAnsi="宋体" w:cs="宋体"/>
          <w:lang w:eastAsia="zh-CN"/>
        </w:rPr>
        <w:t>2.项目实施地点：启瑞广场</w:t>
      </w:r>
      <w:bookmarkStart w:id="4" w:name="_Toc516238987"/>
    </w:p>
    <w:p>
      <w:pPr>
        <w:pStyle w:val="36"/>
        <w:spacing w:line="384" w:lineRule="auto"/>
        <w:ind w:left="0"/>
        <w:rPr>
          <w:rFonts w:cs="宋体"/>
          <w:b/>
          <w:bCs/>
          <w:lang w:eastAsia="zh-CN"/>
        </w:rPr>
      </w:pPr>
      <w:r>
        <w:rPr>
          <w:rFonts w:hint="eastAsia" w:cs="宋体"/>
          <w:b/>
          <w:bCs/>
          <w:lang w:eastAsia="zh-CN"/>
        </w:rPr>
        <w:t>二.项目</w:t>
      </w:r>
      <w:bookmarkEnd w:id="4"/>
      <w:r>
        <w:rPr>
          <w:rFonts w:hint="eastAsia" w:cs="宋体"/>
          <w:b/>
          <w:bCs/>
          <w:lang w:eastAsia="zh-CN"/>
        </w:rPr>
        <w:t>范围</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 xml:space="preserve">乙方将依据甲方的需求，并根据甲方业务的描述情况向甲方提供以下展厅承建、定制及施工服务： </w:t>
      </w:r>
      <w:bookmarkStart w:id="5" w:name="_Toc516238988"/>
    </w:p>
    <w:p>
      <w:pPr>
        <w:spacing w:line="384" w:lineRule="auto"/>
        <w:ind w:firstLine="482" w:firstLineChars="200"/>
        <w:rPr>
          <w:rFonts w:cs="宋体"/>
          <w:b/>
          <w:bCs/>
          <w:sz w:val="24"/>
          <w:szCs w:val="24"/>
        </w:rPr>
      </w:pPr>
      <w:r>
        <w:rPr>
          <w:rFonts w:hint="eastAsia" w:cs="宋体"/>
          <w:b/>
          <w:bCs/>
          <w:sz w:val="24"/>
          <w:szCs w:val="24"/>
        </w:rPr>
        <w:t>施工建设全过程包括但不限于：①本项目范围内的所有室内装饰、智能化、陈列布展、暖通末端改造等其他全部相关工程内容；②结合项目现场情况，展示手段多样，具有层次感，避免单调，在不突破工程投资总额的前提下，合理运用声、光、电等技术手段。③工程竣工验收备案、整体移交（含档案移交）；④工程保修期内的缺陷修复和保修工作等。</w:t>
      </w:r>
    </w:p>
    <w:p>
      <w:pPr>
        <w:spacing w:line="384" w:lineRule="auto"/>
        <w:ind w:firstLine="482" w:firstLineChars="200"/>
        <w:rPr>
          <w:rFonts w:cs="宋体"/>
          <w:sz w:val="24"/>
          <w:szCs w:val="24"/>
        </w:rPr>
      </w:pPr>
      <w:r>
        <w:rPr>
          <w:rFonts w:hint="eastAsia" w:cs="宋体"/>
          <w:b/>
          <w:bCs/>
          <w:sz w:val="24"/>
          <w:szCs w:val="24"/>
        </w:rPr>
        <w:t xml:space="preserve">注：以上招标范围内的工作内容均包含在项目报价中。完成本项目内所有施工、调试、预验收和竣工验收、结算、维护保修以及处理与本项目相关的保护性拆除等相关配套工程。         </w:t>
      </w:r>
      <w:r>
        <w:rPr>
          <w:rFonts w:hint="eastAsia" w:cs="宋体"/>
          <w:b/>
          <w:bCs/>
          <w:kern w:val="0"/>
          <w:sz w:val="24"/>
          <w:szCs w:val="24"/>
          <w:lang w:eastAsia="en-US" w:bidi="en-US"/>
        </w:rPr>
        <w:t>三.项目服务工期及事项</w:t>
      </w:r>
      <w:bookmarkEnd w:id="5"/>
    </w:p>
    <w:p>
      <w:pPr>
        <w:pStyle w:val="37"/>
        <w:numPr>
          <w:ilvl w:val="0"/>
          <w:numId w:val="2"/>
        </w:numPr>
        <w:spacing w:line="384" w:lineRule="auto"/>
        <w:ind w:firstLineChars="0"/>
        <w:jc w:val="left"/>
        <w:rPr>
          <w:rFonts w:hint="eastAsia" w:ascii="宋体" w:hAnsi="宋体" w:eastAsia="宋体" w:cs="宋体"/>
          <w:sz w:val="24"/>
          <w:szCs w:val="24"/>
        </w:rPr>
      </w:pPr>
      <w:r>
        <w:rPr>
          <w:rFonts w:hint="eastAsia" w:ascii="宋体" w:hAnsi="宋体" w:eastAsia="宋体" w:cs="宋体"/>
          <w:sz w:val="24"/>
          <w:szCs w:val="24"/>
        </w:rPr>
        <w:t>施工周期50日</w:t>
      </w:r>
      <w:r>
        <w:rPr>
          <w:rFonts w:hint="eastAsia" w:ascii="宋体" w:hAnsi="宋体" w:eastAsia="宋体" w:cs="宋体"/>
          <w:sz w:val="24"/>
          <w:szCs w:val="24"/>
          <w:lang w:val="zh-CN"/>
        </w:rPr>
        <w:t>历天</w:t>
      </w:r>
      <w:r>
        <w:rPr>
          <w:rFonts w:hint="eastAsia" w:ascii="宋体" w:hAnsi="宋体" w:eastAsia="宋体" w:cs="宋体"/>
          <w:sz w:val="24"/>
          <w:szCs w:val="24"/>
        </w:rPr>
        <w:t>，完工并交付使用。乙方应严格按照甲方约定的工期期限，并确保交付甲方验收合格。</w:t>
      </w:r>
    </w:p>
    <w:p>
      <w:pPr>
        <w:pStyle w:val="36"/>
        <w:numPr>
          <w:ilvl w:val="0"/>
          <w:numId w:val="2"/>
        </w:numPr>
        <w:spacing w:line="384" w:lineRule="auto"/>
        <w:rPr>
          <w:rFonts w:hint="eastAsia" w:ascii="宋体" w:hAnsi="宋体" w:cs="宋体"/>
          <w:lang w:eastAsia="zh-CN"/>
        </w:rPr>
      </w:pPr>
      <w:r>
        <w:rPr>
          <w:rFonts w:hint="eastAsia" w:ascii="宋体" w:hAnsi="宋体" w:cs="宋体"/>
          <w:lang w:eastAsia="zh-CN"/>
        </w:rPr>
        <w:t>本项目采用包工、包料、包工期、包质量、包验收通过、包安全、包文明施工和综合治理的承包方式进行。乙方须按本合同限额设计要求对在确保本工程质量和工期的前提下优化控制投资。本项目由乙方采购材料设备的，应按照甲乙双方确认的材料清单、设计说明、设计图纸和有关技术资料标准要求进行采购，提供材料设备产品的质量、环保合格证明，并对所购材料设备质量负责。</w:t>
      </w:r>
    </w:p>
    <w:p>
      <w:pPr>
        <w:pStyle w:val="36"/>
        <w:numPr>
          <w:ilvl w:val="0"/>
          <w:numId w:val="2"/>
        </w:numPr>
        <w:spacing w:line="384" w:lineRule="auto"/>
        <w:rPr>
          <w:rFonts w:hint="eastAsia" w:ascii="宋体" w:hAnsi="宋体" w:cs="宋体"/>
          <w:lang w:eastAsia="zh-CN"/>
        </w:rPr>
      </w:pPr>
      <w:r>
        <w:rPr>
          <w:rFonts w:hint="eastAsia" w:ascii="宋体" w:hAnsi="宋体" w:cs="宋体"/>
          <w:lang w:eastAsia="zh-CN"/>
        </w:rPr>
        <w:t>乙方采购的材料设备按约定到达指定地点后，双方应对材料、设备进行验收。</w:t>
      </w:r>
    </w:p>
    <w:p>
      <w:pPr>
        <w:pStyle w:val="36"/>
        <w:numPr>
          <w:ilvl w:val="0"/>
          <w:numId w:val="2"/>
        </w:numPr>
        <w:spacing w:line="384" w:lineRule="auto"/>
        <w:rPr>
          <w:rFonts w:hint="eastAsia" w:ascii="宋体" w:hAnsi="宋体" w:cs="宋体"/>
          <w:lang w:eastAsia="zh-CN"/>
        </w:rPr>
      </w:pPr>
      <w:r>
        <w:rPr>
          <w:rFonts w:hint="eastAsia" w:ascii="宋体" w:hAnsi="宋体" w:cs="宋体"/>
          <w:lang w:eastAsia="zh-CN"/>
        </w:rPr>
        <w:t>本项目中的主要材料应由双方选定样品样本。由甲方确认合格后封存，作为材料供应和竣工验收的实物标准。</w:t>
      </w:r>
    </w:p>
    <w:p>
      <w:pPr>
        <w:pStyle w:val="36"/>
        <w:numPr>
          <w:ilvl w:val="0"/>
          <w:numId w:val="2"/>
        </w:numPr>
        <w:spacing w:line="384" w:lineRule="auto"/>
        <w:rPr>
          <w:rFonts w:hint="eastAsia" w:ascii="宋体" w:hAnsi="宋体" w:cs="宋体"/>
          <w:lang w:eastAsia="zh-CN"/>
        </w:rPr>
      </w:pPr>
      <w:r>
        <w:rPr>
          <w:rFonts w:hint="eastAsia" w:ascii="宋体" w:hAnsi="宋体" w:cs="宋体"/>
          <w:lang w:eastAsia="zh-CN"/>
        </w:rPr>
        <w:t xml:space="preserve">双方所确认的并由乙方提供的所有工程材料均应符合国家质检总局发布的《室内装饰装修有害物质限量标准》和满足甲方要求。  </w:t>
      </w:r>
    </w:p>
    <w:p>
      <w:pPr>
        <w:pStyle w:val="36"/>
        <w:numPr>
          <w:ilvl w:val="0"/>
          <w:numId w:val="2"/>
        </w:numPr>
        <w:spacing w:line="384" w:lineRule="auto"/>
        <w:rPr>
          <w:rFonts w:cs="宋体"/>
          <w:lang w:eastAsia="zh-CN"/>
        </w:rPr>
      </w:pPr>
      <w:r>
        <w:rPr>
          <w:rFonts w:hint="eastAsia" w:ascii="宋体" w:hAnsi="宋体" w:cs="宋体"/>
          <w:lang w:eastAsia="zh-CN"/>
        </w:rPr>
        <w:t>乙方需指派一名项目总负责人全面负责工程施工、项目协调和人员管理；并负责项目验收、设备调试及项目验收后对甲方展厅管理人员的培训工作。</w:t>
      </w:r>
      <w:bookmarkStart w:id="6" w:name="_Toc516238989"/>
    </w:p>
    <w:p>
      <w:pPr>
        <w:pStyle w:val="36"/>
        <w:spacing w:line="384" w:lineRule="auto"/>
        <w:ind w:left="0"/>
        <w:rPr>
          <w:rFonts w:cs="宋体"/>
          <w:b/>
          <w:bCs/>
          <w:lang w:eastAsia="zh-CN"/>
        </w:rPr>
      </w:pPr>
      <w:r>
        <w:rPr>
          <w:rFonts w:hint="eastAsia" w:cs="宋体"/>
          <w:b/>
          <w:bCs/>
          <w:lang w:eastAsia="zh-CN"/>
        </w:rPr>
        <w:t>四.合同价款的结算及付款方式</w:t>
      </w:r>
      <w:bookmarkEnd w:id="6"/>
    </w:p>
    <w:p>
      <w:pPr>
        <w:pStyle w:val="36"/>
        <w:numPr>
          <w:ilvl w:val="0"/>
          <w:numId w:val="3"/>
        </w:numPr>
        <w:spacing w:line="384" w:lineRule="auto"/>
        <w:rPr>
          <w:rFonts w:hint="eastAsia" w:ascii="宋体" w:hAnsi="宋体" w:cs="宋体"/>
        </w:rPr>
      </w:pPr>
      <w:r>
        <w:rPr>
          <w:rFonts w:hint="eastAsia" w:ascii="宋体" w:hAnsi="宋体" w:cs="宋体"/>
        </w:rPr>
        <w:t>合同价款结算:</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（1）本项目服务总费用暂定为人民币：￥</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）（含暂列金￥</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）以上费用包括但不限于展厅</w:t>
      </w:r>
      <w:r>
        <w:rPr>
          <w:rFonts w:hint="eastAsia" w:cs="Century"/>
          <w:sz w:val="24"/>
          <w:szCs w:val="24"/>
        </w:rPr>
        <w:t>二次深化设计费用</w:t>
      </w:r>
      <w:r>
        <w:rPr>
          <w:rFonts w:hint="eastAsia" w:ascii="宋体" w:hAnsi="宋体" w:cs="宋体"/>
          <w:sz w:val="24"/>
          <w:szCs w:val="24"/>
        </w:rPr>
        <w:t>、</w:t>
      </w:r>
      <w:r>
        <w:rPr>
          <w:rFonts w:hint="eastAsia" w:cs="Century"/>
          <w:sz w:val="24"/>
          <w:szCs w:val="24"/>
        </w:rPr>
        <w:t>设备费、材料费、模型等艺术品的制作、版权、包装、运输等一切费用、</w:t>
      </w:r>
      <w:r>
        <w:rPr>
          <w:rFonts w:cs="Century"/>
          <w:sz w:val="24"/>
          <w:szCs w:val="24"/>
        </w:rPr>
        <w:t>辅料</w:t>
      </w:r>
      <w:r>
        <w:rPr>
          <w:rFonts w:hint="eastAsia" w:cs="Century"/>
          <w:sz w:val="24"/>
          <w:szCs w:val="24"/>
        </w:rPr>
        <w:t>费、制作费、软件费、税费等其他相关费用，</w:t>
      </w:r>
      <w:r>
        <w:rPr>
          <w:rFonts w:hint="eastAsia" w:ascii="宋体" w:hAnsi="宋体" w:cs="宋体"/>
          <w:sz w:val="24"/>
          <w:szCs w:val="24"/>
        </w:rPr>
        <w:t>采用综合单价的计价方式，详见本合同《项目清单计价表》（附件一），且设备与建安工程开具不同税率的发票，工程量具体按实计量结算。</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（2）项目增减价格：在本项目实施过程中，经双方一致同意的施工、定制项目的增减等，一方或双方将依据上述所规定的价格标准商定变更后的具体价格。</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（3）乙方必须与甲方签订《工程质量保证书》（附件三）。</w:t>
      </w:r>
    </w:p>
    <w:p>
      <w:pPr>
        <w:pStyle w:val="36"/>
        <w:numPr>
          <w:ilvl w:val="0"/>
          <w:numId w:val="3"/>
        </w:numPr>
        <w:spacing w:line="384" w:lineRule="auto"/>
        <w:rPr>
          <w:rFonts w:hint="eastAsia" w:ascii="宋体" w:hAnsi="宋体" w:cs="宋体"/>
        </w:rPr>
      </w:pPr>
      <w:r>
        <w:rPr>
          <w:rFonts w:hint="eastAsia" w:ascii="宋体" w:hAnsi="宋体" w:cs="宋体"/>
        </w:rPr>
        <w:t xml:space="preserve">付款方式 </w:t>
      </w:r>
    </w:p>
    <w:p>
      <w:pPr>
        <w:spacing w:line="384" w:lineRule="auto"/>
        <w:ind w:firstLine="480" w:firstLineChars="200"/>
        <w:rPr>
          <w:rFonts w:hint="eastAsia" w:ascii="宋体" w:hAnsi="宋体" w:cs="宋体"/>
          <w:sz w:val="24"/>
          <w:szCs w:val="24"/>
          <w:highlight w:val="yellow"/>
        </w:rPr>
      </w:pPr>
      <w:r>
        <w:rPr>
          <w:rFonts w:hint="eastAsia" w:ascii="宋体" w:hAnsi="宋体" w:cs="宋体"/>
          <w:sz w:val="24"/>
          <w:szCs w:val="24"/>
        </w:rPr>
        <w:t>竣工验收合格付至合同价90%，审计后付至审定价的95%，剩余5%质保期满后一次性付清。乙方应当在甲方付款前向甲方开具与付款金额等额的税务正式发票，否则，甲方有权不予付款，直至乙方履行前述开票义务。</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●以上金额，甲方以银行电汇的方式支付给乙方，乙方帐号资料如下：</w:t>
      </w:r>
    </w:p>
    <w:p>
      <w:pPr>
        <w:spacing w:line="384" w:lineRule="auto"/>
        <w:ind w:firstLine="480" w:firstLineChars="200"/>
        <w:rPr>
          <w:rFonts w:hint="eastAsia" w:ascii="宋体" w:hAnsi="宋体" w:cs="宋体"/>
          <w:sz w:val="24"/>
          <w:szCs w:val="24"/>
        </w:rPr>
      </w:pPr>
      <w:r>
        <w:rPr>
          <w:rFonts w:hint="eastAsia" w:ascii="宋体" w:hAnsi="宋体" w:cs="宋体"/>
          <w:bCs/>
          <w:sz w:val="24"/>
          <w:szCs w:val="24"/>
        </w:rPr>
        <w:t>户名</w:t>
      </w:r>
      <w:r>
        <w:rPr>
          <w:rFonts w:hint="eastAsia" w:ascii="宋体" w:hAnsi="宋体" w:cs="宋体"/>
          <w:sz w:val="24"/>
          <w:szCs w:val="24"/>
        </w:rPr>
        <w:t xml:space="preserve">：      </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账号：</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开户行：</w:t>
      </w:r>
    </w:p>
    <w:p>
      <w:pPr>
        <w:spacing w:line="384" w:lineRule="auto"/>
        <w:jc w:val="left"/>
        <w:rPr>
          <w:rFonts w:hint="eastAsia" w:ascii="宋体" w:hAnsi="宋体" w:cs="宋体"/>
          <w:sz w:val="24"/>
          <w:szCs w:val="24"/>
        </w:rPr>
      </w:pPr>
      <w:r>
        <w:rPr>
          <w:rFonts w:hint="eastAsia" w:ascii="宋体" w:hAnsi="宋体" w:cs="宋体"/>
          <w:sz w:val="24"/>
          <w:szCs w:val="24"/>
        </w:rPr>
        <w:t xml:space="preserve">     3. 乙方未经甲方同意超出设计图自行增加的工程量和因乙方原因返工增加的工程量不予计量。由于乙方设计的原因导致设计变更，致使工程量增加及造价的增加，并致使工期顺延，发生的一切费用由乙方承担。</w:t>
      </w:r>
      <w:bookmarkStart w:id="7" w:name="_Toc516238990"/>
      <w:r>
        <w:rPr>
          <w:rFonts w:hint="eastAsia" w:ascii="宋体" w:hAnsi="宋体" w:cs="宋体"/>
          <w:sz w:val="24"/>
          <w:szCs w:val="24"/>
        </w:rPr>
        <w:t xml:space="preserve">                                           </w:t>
      </w:r>
      <w:r>
        <w:rPr>
          <w:rFonts w:hint="eastAsia" w:ascii="宋体" w:hAnsi="宋体" w:eastAsia="宋体" w:cs="宋体"/>
          <w:b/>
          <w:bCs/>
          <w:kern w:val="44"/>
          <w:sz w:val="24"/>
          <w:szCs w:val="24"/>
        </w:rPr>
        <w:t>五.</w:t>
      </w:r>
      <w:r>
        <w:rPr>
          <w:rFonts w:hint="eastAsia" w:cs="宋体"/>
          <w:b/>
          <w:bCs/>
          <w:sz w:val="24"/>
          <w:szCs w:val="24"/>
        </w:rPr>
        <w:t>双方</w:t>
      </w:r>
      <w:bookmarkEnd w:id="7"/>
      <w:r>
        <w:rPr>
          <w:rFonts w:hint="eastAsia" w:cs="宋体"/>
          <w:b/>
          <w:bCs/>
          <w:sz w:val="24"/>
          <w:szCs w:val="24"/>
        </w:rPr>
        <w:t>的权利和义务</w:t>
      </w:r>
    </w:p>
    <w:p>
      <w:r>
        <w:rPr>
          <w:rFonts w:hint="eastAsia" w:cs="宋体"/>
          <w:sz w:val="24"/>
          <w:szCs w:val="24"/>
        </w:rPr>
        <w:t>1、甲方的义务</w:t>
      </w:r>
    </w:p>
    <w:p>
      <w:pPr>
        <w:spacing w:line="384" w:lineRule="auto"/>
        <w:rPr>
          <w:rFonts w:hint="eastAsia" w:ascii="宋体" w:hAnsi="宋体" w:cs="宋体"/>
          <w:sz w:val="24"/>
          <w:szCs w:val="24"/>
        </w:rPr>
      </w:pPr>
      <w:r>
        <w:rPr>
          <w:rFonts w:hint="eastAsia" w:ascii="宋体" w:hAnsi="宋体" w:cs="宋体"/>
          <w:sz w:val="24"/>
          <w:szCs w:val="24"/>
        </w:rPr>
        <w:t>（1）进场前向乙方进行现场交底并办理布展服务所涉及的各种申请、备案、批件等手续。</w:t>
      </w:r>
    </w:p>
    <w:p>
      <w:pPr>
        <w:spacing w:line="384" w:lineRule="auto"/>
        <w:rPr>
          <w:rFonts w:hint="eastAsia" w:ascii="宋体" w:hAnsi="宋体" w:cs="宋体"/>
          <w:sz w:val="24"/>
          <w:szCs w:val="24"/>
        </w:rPr>
      </w:pPr>
      <w:r>
        <w:rPr>
          <w:rFonts w:hint="eastAsia" w:ascii="宋体" w:hAnsi="宋体" w:cs="宋体"/>
          <w:sz w:val="24"/>
          <w:szCs w:val="24"/>
        </w:rPr>
        <w:t xml:space="preserve">（2）甲方应在项目开工前组织并完成设计变更、招投标暂估价及增项批价工作。    </w:t>
      </w:r>
    </w:p>
    <w:p>
      <w:pPr>
        <w:spacing w:line="384" w:lineRule="auto"/>
        <w:rPr>
          <w:rFonts w:hint="eastAsia" w:ascii="宋体" w:hAnsi="宋体" w:cs="宋体"/>
          <w:sz w:val="24"/>
          <w:szCs w:val="24"/>
        </w:rPr>
      </w:pPr>
      <w:r>
        <w:rPr>
          <w:rFonts w:hint="eastAsia" w:ascii="宋体" w:hAnsi="宋体" w:cs="宋体"/>
          <w:sz w:val="24"/>
          <w:szCs w:val="24"/>
        </w:rPr>
        <w:t>（3）甲方按照合同中的付款期限，按时向乙方支付款项。</w:t>
      </w:r>
    </w:p>
    <w:p>
      <w:pPr>
        <w:spacing w:line="384" w:lineRule="auto"/>
        <w:rPr>
          <w:rFonts w:hint="eastAsia" w:ascii="宋体" w:hAnsi="宋体" w:cs="宋体"/>
          <w:sz w:val="24"/>
          <w:szCs w:val="24"/>
        </w:rPr>
      </w:pPr>
      <w:r>
        <w:rPr>
          <w:rFonts w:hint="eastAsia" w:ascii="宋体" w:hAnsi="宋体" w:cs="宋体"/>
          <w:sz w:val="24"/>
          <w:szCs w:val="24"/>
        </w:rPr>
        <w:t>（4）甲方有责任在乙方采购设备到货后2日内进行设备点验并签字确认，乙方再开始测试与安装调试工作。如甲方逾期未验收也未另行确定验收时间的，视为验收合格。</w:t>
      </w:r>
    </w:p>
    <w:p>
      <w:pPr>
        <w:spacing w:line="384" w:lineRule="auto"/>
        <w:rPr>
          <w:rFonts w:hint="eastAsia" w:ascii="宋体" w:hAnsi="宋体" w:cs="宋体"/>
          <w:sz w:val="24"/>
          <w:szCs w:val="24"/>
        </w:rPr>
      </w:pPr>
      <w:r>
        <w:rPr>
          <w:rFonts w:hint="eastAsia" w:ascii="宋体" w:hAnsi="宋体" w:cs="宋体"/>
          <w:sz w:val="24"/>
          <w:szCs w:val="24"/>
        </w:rPr>
        <w:t>（5）甲方负责协助乙方安排设备安装场地及设计成果、硬件安装调试环境（包含但不限于可靠供电、供水）与进入场地的通道，甲方应确保移交场地整洁。</w:t>
      </w:r>
    </w:p>
    <w:p>
      <w:pPr>
        <w:spacing w:line="384" w:lineRule="auto"/>
        <w:rPr>
          <w:rFonts w:hint="eastAsia" w:ascii="宋体" w:hAnsi="宋体" w:cs="宋体"/>
          <w:sz w:val="24"/>
          <w:szCs w:val="24"/>
        </w:rPr>
      </w:pPr>
      <w:r>
        <w:rPr>
          <w:rFonts w:hint="eastAsia" w:ascii="宋体" w:hAnsi="宋体" w:cs="宋体"/>
          <w:sz w:val="24"/>
          <w:szCs w:val="24"/>
        </w:rPr>
        <w:t>（6）在乙方不按合同要求进行施工的情况下，勒令承包人暂停施工，并在承包人整改完毕提出报告后进行审核和批准复工。</w:t>
      </w:r>
    </w:p>
    <w:p>
      <w:pPr>
        <w:spacing w:line="384" w:lineRule="auto"/>
        <w:rPr>
          <w:rFonts w:hint="eastAsia" w:ascii="宋体" w:hAnsi="宋体" w:cs="宋体"/>
          <w:sz w:val="24"/>
          <w:szCs w:val="24"/>
        </w:rPr>
      </w:pPr>
      <w:r>
        <w:rPr>
          <w:rFonts w:hint="eastAsia" w:ascii="宋体" w:hAnsi="宋体" w:cs="宋体"/>
          <w:sz w:val="24"/>
          <w:szCs w:val="24"/>
        </w:rPr>
        <w:t>（7）甲方委派__________(电话：__________手机：__________电子邮件：__________)为甲方项目负责人，负责本合同履行过程中质量进度的监督、工程变更的确认、验收等事宜的办理，委派 __________(电话：__________手机：__________电子邮件：__________)为项目日常执行对接人，负责与乙方进行工作联系，负责提供乙方所需文件和参考资料、转达甲方的意见和要求等履行合同过程中相关日常工作对接事宜。</w:t>
      </w:r>
    </w:p>
    <w:p>
      <w:pPr>
        <w:spacing w:line="384" w:lineRule="auto"/>
        <w:rPr>
          <w:rFonts w:hint="eastAsia" w:ascii="宋体" w:hAnsi="宋体" w:cs="宋体"/>
          <w:sz w:val="24"/>
          <w:szCs w:val="24"/>
        </w:rPr>
      </w:pPr>
      <w:r>
        <w:rPr>
          <w:rFonts w:hint="eastAsia" w:ascii="宋体" w:hAnsi="宋体" w:cs="宋体"/>
          <w:sz w:val="24"/>
          <w:szCs w:val="24"/>
        </w:rPr>
        <w:t>（8）向乙方提供符合布展施工条件的场地（屋面防水已完工、外墙完成封闭、门窗已安装），同时提供施工所需的临水、临电接口。在施工中如因场地原因造成乙方损失和甲方的原因所产生的工程量增加、变更等情况，乙方向甲方递交工程量签证单，甲方代表应在回执上签认。</w:t>
      </w:r>
    </w:p>
    <w:p>
      <w:pPr>
        <w:spacing w:line="384" w:lineRule="auto"/>
        <w:rPr>
          <w:rFonts w:hint="eastAsia" w:ascii="宋体" w:hAnsi="宋体" w:cs="宋体"/>
          <w:sz w:val="24"/>
          <w:szCs w:val="24"/>
        </w:rPr>
      </w:pPr>
      <w:r>
        <w:rPr>
          <w:rFonts w:hint="eastAsia" w:ascii="宋体" w:hAnsi="宋体" w:cs="宋体"/>
          <w:sz w:val="24"/>
          <w:szCs w:val="24"/>
        </w:rPr>
        <w:t>（9）甲方应及时安排结算审计工作。</w:t>
      </w:r>
    </w:p>
    <w:p>
      <w:pPr>
        <w:spacing w:line="384" w:lineRule="auto"/>
        <w:ind w:firstLine="240" w:firstLineChars="100"/>
        <w:rPr>
          <w:rFonts w:hint="eastAsia" w:ascii="宋体" w:hAnsi="宋体" w:cs="宋体"/>
          <w:sz w:val="24"/>
          <w:szCs w:val="24"/>
        </w:rPr>
      </w:pPr>
      <w:r>
        <w:rPr>
          <w:rFonts w:hint="eastAsia" w:ascii="宋体" w:hAnsi="宋体" w:cs="宋体"/>
          <w:sz w:val="24"/>
          <w:szCs w:val="24"/>
        </w:rPr>
        <w:t>2、乙方权利和义务：</w:t>
      </w:r>
    </w:p>
    <w:p>
      <w:pPr>
        <w:spacing w:line="384" w:lineRule="auto"/>
        <w:rPr>
          <w:rFonts w:hint="eastAsia" w:ascii="宋体" w:hAnsi="宋体" w:cs="宋体"/>
          <w:sz w:val="24"/>
          <w:szCs w:val="24"/>
        </w:rPr>
      </w:pPr>
      <w:r>
        <w:rPr>
          <w:rFonts w:hint="eastAsia" w:ascii="宋体" w:hAnsi="宋体" w:cs="宋体"/>
          <w:sz w:val="24"/>
          <w:szCs w:val="24"/>
        </w:rPr>
        <w:t>（1）乙方应向甲方提供设计方案，如因乙方技术方案设计问题导致的故障与问题，由乙方负责解决，费用由乙方承担。</w:t>
      </w:r>
    </w:p>
    <w:p>
      <w:pPr>
        <w:spacing w:line="384" w:lineRule="auto"/>
        <w:rPr>
          <w:rFonts w:hint="eastAsia" w:ascii="宋体" w:hAnsi="宋体" w:cs="宋体"/>
          <w:sz w:val="24"/>
          <w:szCs w:val="24"/>
        </w:rPr>
      </w:pPr>
      <w:r>
        <w:rPr>
          <w:rFonts w:hint="eastAsia" w:ascii="宋体" w:hAnsi="宋体" w:cs="宋体"/>
          <w:sz w:val="24"/>
          <w:szCs w:val="24"/>
        </w:rPr>
        <w:t>（2）乙方应严格按照工期要求展开各项工作，期间甲方可根据乙方汇报资料认定乙方的阶段性工作进度。</w:t>
      </w:r>
    </w:p>
    <w:p>
      <w:pPr>
        <w:spacing w:line="384" w:lineRule="auto"/>
        <w:rPr>
          <w:rFonts w:hint="eastAsia" w:ascii="宋体" w:hAnsi="宋体" w:cs="宋体"/>
          <w:sz w:val="24"/>
          <w:szCs w:val="24"/>
        </w:rPr>
      </w:pPr>
      <w:r>
        <w:rPr>
          <w:rFonts w:hint="eastAsia" w:ascii="宋体" w:hAnsi="宋体" w:cs="宋体"/>
          <w:sz w:val="24"/>
          <w:szCs w:val="24"/>
        </w:rPr>
        <w:t>（3）乙方负责硬件设备货物的发运，运输费用已包含在总货款之中，甲方不需另行支付。硬件设备自到达安装现场之日起，乙方对安装期间的施工现场及入场设备负有安保义务。甲方付清设备款后设备所有权归甲方所有。</w:t>
      </w:r>
    </w:p>
    <w:p>
      <w:pPr>
        <w:spacing w:line="384" w:lineRule="auto"/>
        <w:rPr>
          <w:rFonts w:hint="eastAsia" w:ascii="宋体" w:hAnsi="宋体" w:cs="宋体"/>
          <w:sz w:val="24"/>
          <w:szCs w:val="24"/>
        </w:rPr>
      </w:pPr>
      <w:r>
        <w:rPr>
          <w:rFonts w:hint="eastAsia" w:ascii="宋体" w:hAnsi="宋体" w:cs="宋体"/>
          <w:sz w:val="24"/>
          <w:szCs w:val="24"/>
        </w:rPr>
        <w:t>（4）乙方有权要求甲方按照合同约定支付相应款项。</w:t>
      </w:r>
    </w:p>
    <w:p>
      <w:pPr>
        <w:spacing w:line="384" w:lineRule="auto"/>
        <w:rPr>
          <w:rFonts w:hint="eastAsia" w:ascii="宋体" w:hAnsi="宋体" w:cs="宋体"/>
          <w:sz w:val="24"/>
          <w:szCs w:val="24"/>
        </w:rPr>
      </w:pPr>
      <w:r>
        <w:rPr>
          <w:rFonts w:hint="eastAsia" w:ascii="宋体" w:hAnsi="宋体" w:cs="宋体"/>
          <w:sz w:val="24"/>
          <w:szCs w:val="24"/>
        </w:rPr>
        <w:t>（5）项目竣工验收、设备调试交付使用前，乙方应负责编制项目日常运行操作和设备维护说明书，对甲方人员进行技术培训，确保甲方人员操作行为顺利有效。</w:t>
      </w:r>
    </w:p>
    <w:p>
      <w:pPr>
        <w:spacing w:line="384" w:lineRule="auto"/>
        <w:rPr>
          <w:rFonts w:hint="eastAsia" w:ascii="宋体" w:hAnsi="宋体" w:cs="宋体"/>
          <w:sz w:val="24"/>
          <w:szCs w:val="24"/>
        </w:rPr>
      </w:pPr>
      <w:r>
        <w:rPr>
          <w:rFonts w:hint="eastAsia" w:ascii="宋体" w:hAnsi="宋体" w:cs="宋体"/>
          <w:sz w:val="24"/>
          <w:szCs w:val="24"/>
        </w:rPr>
        <w:t>（6）乙方应保证施工场地清洁符合环境卫生管理的有关规定，施工期间须及时将垃圾清理出施工现场，竣工验收前全部清理完毕。工程移交甲方前，乙方应负责清理完废料、垃圾、施工机具等。</w:t>
      </w:r>
    </w:p>
    <w:p>
      <w:pPr>
        <w:spacing w:line="384" w:lineRule="auto"/>
        <w:rPr>
          <w:rFonts w:hint="eastAsia" w:ascii="宋体" w:hAnsi="宋体" w:cs="宋体"/>
          <w:sz w:val="24"/>
          <w:szCs w:val="24"/>
        </w:rPr>
      </w:pPr>
      <w:r>
        <w:rPr>
          <w:rFonts w:hint="eastAsia" w:ascii="宋体" w:hAnsi="宋体" w:cs="宋体"/>
          <w:sz w:val="24"/>
          <w:szCs w:val="24"/>
        </w:rPr>
        <w:t>（7）乙方应指定</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电子邮件：</w:t>
      </w:r>
      <w:r>
        <w:rPr>
          <w:rFonts w:hint="eastAsia" w:ascii="宋体" w:hAnsi="宋体" w:cs="宋体"/>
          <w:sz w:val="24"/>
          <w:szCs w:val="24"/>
          <w:u w:val="single"/>
        </w:rPr>
        <w:t xml:space="preserve">         </w:t>
      </w:r>
      <w:r>
        <w:rPr>
          <w:rFonts w:hint="eastAsia" w:ascii="宋体" w:hAnsi="宋体" w:cs="宋体"/>
          <w:sz w:val="24"/>
          <w:szCs w:val="24"/>
        </w:rPr>
        <w:t>)为本项目负责人，其职权为履行本合同，负责本合同履行过程中与甲方的沟通与联系工作。甲方所有问题、建议、函件均由甲方指定的本合同负责人签字后由日常执行对接人与乙方项目负责人对接。</w:t>
      </w:r>
    </w:p>
    <w:p>
      <w:pPr>
        <w:spacing w:line="384" w:lineRule="auto"/>
        <w:rPr>
          <w:rFonts w:hint="eastAsia" w:ascii="宋体" w:hAnsi="宋体" w:cs="宋体"/>
          <w:sz w:val="24"/>
          <w:szCs w:val="24"/>
        </w:rPr>
      </w:pPr>
      <w:r>
        <w:rPr>
          <w:rFonts w:hint="eastAsia" w:ascii="宋体" w:hAnsi="宋体" w:cs="宋体"/>
          <w:sz w:val="24"/>
          <w:szCs w:val="24"/>
        </w:rPr>
        <w:t>（8）乙方应服从甲方委派的项目负责人的正常监督管理并给予积极配合。</w:t>
      </w:r>
    </w:p>
    <w:p>
      <w:pPr>
        <w:spacing w:line="384" w:lineRule="auto"/>
        <w:rPr>
          <w:rFonts w:hint="eastAsia" w:ascii="宋体" w:hAnsi="宋体" w:cs="宋体"/>
          <w:sz w:val="24"/>
          <w:szCs w:val="24"/>
        </w:rPr>
      </w:pPr>
      <w:r>
        <w:rPr>
          <w:rFonts w:hint="eastAsia" w:ascii="宋体" w:hAnsi="宋体" w:cs="宋体"/>
          <w:sz w:val="24"/>
          <w:szCs w:val="24"/>
        </w:rPr>
        <w:t>（9）乙方要配合甲方其他设备的安装，并提供便利条件。</w:t>
      </w:r>
    </w:p>
    <w:p>
      <w:pPr>
        <w:spacing w:line="384" w:lineRule="auto"/>
        <w:rPr>
          <w:rFonts w:hint="eastAsia" w:ascii="宋体" w:hAnsi="宋体" w:cs="宋体"/>
          <w:sz w:val="24"/>
          <w:szCs w:val="24"/>
        </w:rPr>
      </w:pPr>
      <w:r>
        <w:rPr>
          <w:rFonts w:hint="eastAsia" w:ascii="宋体" w:hAnsi="宋体" w:cs="宋体"/>
          <w:sz w:val="24"/>
          <w:szCs w:val="24"/>
        </w:rPr>
        <w:t>（10）如因乙方自身原因所产生的工程量增加、变更等情况，由乙方自行承担费用。</w:t>
      </w:r>
    </w:p>
    <w:p>
      <w:pPr>
        <w:spacing w:line="384" w:lineRule="auto"/>
        <w:rPr>
          <w:rFonts w:hint="eastAsia" w:ascii="宋体" w:hAnsi="宋体" w:cs="宋体"/>
          <w:sz w:val="24"/>
          <w:szCs w:val="24"/>
        </w:rPr>
      </w:pPr>
      <w:r>
        <w:rPr>
          <w:rFonts w:hint="eastAsia" w:ascii="宋体" w:hAnsi="宋体" w:cs="宋体"/>
          <w:sz w:val="24"/>
          <w:szCs w:val="24"/>
        </w:rPr>
        <w:t>（11）本合同实施过程中，乙方应对现场人员的安全、现场秩序、成品/半成品/进场设备保护、环境保护、消防、用电等负责。确保施工安全无事故，承担因乙方未采取安全措施引起事故责任所造成的损失。</w:t>
      </w:r>
      <w:bookmarkStart w:id="8" w:name="_Toc516238991"/>
    </w:p>
    <w:p>
      <w:pPr>
        <w:spacing w:line="384" w:lineRule="auto"/>
        <w:rPr>
          <w:rFonts w:hint="eastAsia" w:ascii="宋体" w:hAnsi="宋体" w:cs="宋体"/>
          <w:b/>
          <w:bCs/>
          <w:sz w:val="24"/>
          <w:szCs w:val="24"/>
        </w:rPr>
      </w:pPr>
      <w:r>
        <w:rPr>
          <w:rFonts w:hint="eastAsia" w:ascii="宋体" w:hAnsi="宋体" w:cs="宋体"/>
          <w:b/>
          <w:bCs/>
          <w:sz w:val="24"/>
          <w:szCs w:val="24"/>
        </w:rPr>
        <w:t>六.交付与验收</w:t>
      </w:r>
      <w:bookmarkEnd w:id="8"/>
    </w:p>
    <w:p>
      <w:pPr>
        <w:spacing w:line="384" w:lineRule="auto"/>
        <w:ind w:firstLine="480" w:firstLineChars="200"/>
        <w:rPr>
          <w:rFonts w:hint="eastAsia" w:ascii="宋体" w:hAnsi="宋体" w:cs="宋体"/>
          <w:sz w:val="24"/>
          <w:szCs w:val="24"/>
        </w:rPr>
      </w:pPr>
      <w:r>
        <w:rPr>
          <w:rFonts w:hint="eastAsia" w:ascii="宋体" w:hAnsi="宋体" w:cs="宋体"/>
          <w:sz w:val="24"/>
          <w:szCs w:val="24"/>
        </w:rPr>
        <w:t>1.交付</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（1）乙方应在进行每项交付前</w:t>
      </w:r>
      <w:r>
        <w:rPr>
          <w:rFonts w:hint="eastAsia" w:ascii="宋体" w:hAnsi="宋体" w:cs="宋体"/>
          <w:sz w:val="24"/>
          <w:szCs w:val="24"/>
          <w:u w:val="single"/>
        </w:rPr>
        <w:t xml:space="preserve">  3 </w:t>
      </w:r>
      <w:r>
        <w:rPr>
          <w:rFonts w:hint="eastAsia" w:ascii="宋体" w:hAnsi="宋体" w:cs="宋体"/>
          <w:sz w:val="24"/>
          <w:szCs w:val="24"/>
        </w:rPr>
        <w:t>个工作日内，以书面方式通知甲方。甲方应当在接到通知的</w:t>
      </w:r>
      <w:r>
        <w:rPr>
          <w:rFonts w:hint="eastAsia" w:ascii="宋体" w:hAnsi="宋体" w:cs="宋体"/>
          <w:sz w:val="24"/>
          <w:szCs w:val="24"/>
          <w:u w:val="single"/>
        </w:rPr>
        <w:t xml:space="preserve">  3 个 </w:t>
      </w:r>
      <w:r>
        <w:rPr>
          <w:rFonts w:hint="eastAsia" w:ascii="宋体" w:hAnsi="宋体" w:cs="宋体"/>
          <w:sz w:val="24"/>
          <w:szCs w:val="24"/>
        </w:rPr>
        <w:t>工作日内安排接受交付。乙方在交付前应当根据附件中约定的规格标准对所交付的项目进行规格、功能和运行检测，以确认交付项目符合本合同的规定。如乙方交付阶段性项目合格，甲方应开具《验收合格书》至乙方。</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如果由于甲方的原因而导致交付不能按时进行，乙方将按延期时间顺延交付。如果因延期交付而导致乙方遭受损失的，甲方应当予以赔偿。如果甲方无正当理由不接受交付，则视为乙方已经交付，甲方应当按照合同的约定付款。双方对此另有约定的除外。</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2.交付内容</w:t>
      </w:r>
    </w:p>
    <w:p>
      <w:pPr>
        <w:pStyle w:val="36"/>
        <w:numPr>
          <w:ilvl w:val="0"/>
          <w:numId w:val="4"/>
        </w:numPr>
        <w:spacing w:line="384" w:lineRule="auto"/>
        <w:rPr>
          <w:rFonts w:hint="eastAsia" w:ascii="宋体" w:hAnsi="宋体" w:cs="宋体"/>
          <w:lang w:eastAsia="zh-CN"/>
        </w:rPr>
      </w:pPr>
      <w:r>
        <w:rPr>
          <w:rFonts w:hint="eastAsia" w:ascii="宋体" w:hAnsi="宋体" w:cs="宋体"/>
          <w:lang w:eastAsia="zh-CN"/>
        </w:rPr>
        <w:t>乙方应按照合同及其附件所约定的内容进行交付。</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（2）如果由于甲方使用不当或其它非乙方原因而造成所交付项目的问题，经甲方要求，乙方应当在 5 个工作日内帮助处理此项故障或问题，由此而产生的费用由甲方承担。</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（3）因乙方工期安排或施工等问题导致项目未按时交付，按工程违约金处理。</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3.验收</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甲方在验收交付项目后，应当在5个工作日内对所交付项目进行验收，并向乙方出具书面文件，以确认其是否符合本合同所约定的设计任务、施工质量。如有缺陷，应向乙方出具书面报告，陈述需要改进的缺陷。乙方应立即改进此项缺陷，并再次进行检测和评估。甲方应当于5个工作日内再次验收并向乙方出具书面文件或递交缺陷报告。甲、乙双方将重复此项程序直至甲方检测通过,但不得超过合同或者其他双方确认的文件约定的范围。</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（2）甲方在约定验收期间内，应提供验收便利并按时进行验收，如甲方不提供验收便利或不按时验收的，则超出验收期限，视为乙方交付成果符合合同要求的施工任务，甲方应依照合同约定履行付款义务。</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（3）如项目工程未按双方确认的施工效果图实施或者经验收不合格的，甲方有权不验收项目，乙方应全面赔偿甲方损失。</w:t>
      </w:r>
    </w:p>
    <w:p>
      <w:pPr>
        <w:pStyle w:val="6"/>
        <w:spacing w:line="38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（4）完成建设工程设计和合同约定的各项内容；有完整的技术档案和施工管理资料；有工程使用的主要材料、构配件和设备的合格试验报告；</w:t>
      </w:r>
      <w:bookmarkStart w:id="9" w:name="_Toc516238992"/>
    </w:p>
    <w:p>
      <w:pPr>
        <w:pStyle w:val="6"/>
        <w:spacing w:line="384" w:lineRule="auto"/>
        <w:ind w:firstLine="482" w:firstLineChars="200"/>
        <w:rPr>
          <w:rFonts w:hint="eastAsia" w:ascii="宋体" w:hAnsi="宋体" w:cs="宋体" w:eastAsiaTheme="minorEastAsia"/>
          <w:b/>
          <w:bCs/>
          <w:kern w:val="2"/>
          <w:sz w:val="24"/>
          <w:szCs w:val="24"/>
        </w:rPr>
      </w:pPr>
      <w:r>
        <w:rPr>
          <w:rFonts w:hint="eastAsia" w:ascii="宋体" w:hAnsi="宋体" w:cs="宋体" w:eastAsiaTheme="minorEastAsia"/>
          <w:b/>
          <w:bCs/>
          <w:kern w:val="2"/>
          <w:sz w:val="24"/>
          <w:szCs w:val="24"/>
        </w:rPr>
        <w:t>七.质保</w:t>
      </w:r>
      <w:bookmarkEnd w:id="9"/>
    </w:p>
    <w:p>
      <w:pPr>
        <w:spacing w:line="384" w:lineRule="auto"/>
        <w:ind w:firstLine="480" w:firstLineChars="200"/>
        <w:rPr>
          <w:rFonts w:hint="eastAsia" w:ascii="宋体" w:hAnsi="宋体" w:cs="宋体"/>
          <w:sz w:val="24"/>
          <w:szCs w:val="24"/>
        </w:rPr>
      </w:pPr>
      <w:r>
        <w:rPr>
          <w:rFonts w:hint="eastAsia" w:ascii="宋体" w:hAnsi="宋体" w:cs="宋体"/>
          <w:sz w:val="24"/>
          <w:szCs w:val="24"/>
        </w:rPr>
        <w:t>1.乙方自本设计施工工程项目整体交付验收合格之日起的</w:t>
      </w:r>
      <w:r>
        <w:rPr>
          <w:rFonts w:hint="eastAsia" w:ascii="宋体" w:hAnsi="宋体" w:cs="宋体"/>
          <w:sz w:val="24"/>
          <w:szCs w:val="24"/>
          <w:u w:val="single"/>
        </w:rPr>
        <w:t xml:space="preserve"> 两 </w:t>
      </w:r>
      <w:r>
        <w:rPr>
          <w:rFonts w:hint="eastAsia" w:ascii="宋体" w:hAnsi="宋体" w:cs="宋体"/>
          <w:sz w:val="24"/>
          <w:szCs w:val="24"/>
        </w:rPr>
        <w:t>年内向甲方提供免费的保修和维护服务。保修期内，乙方应自收到甲方保修及维修服务要求后的三日内予以解决。在保修期内如果由于甲方故意或重大过失的原因引起的上述故障，其修理和维护费用由甲方承担。</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2.项目保修期期满后，如果甲方继续聘请乙方对本合同所规定的项目进行维护，则双方另行签署维护协议。</w:t>
      </w:r>
      <w:bookmarkStart w:id="10" w:name="_Toc516238993"/>
    </w:p>
    <w:p>
      <w:pPr>
        <w:spacing w:line="384" w:lineRule="auto"/>
        <w:ind w:firstLine="482" w:firstLineChars="200"/>
        <w:rPr>
          <w:rFonts w:cs="宋体"/>
          <w:b/>
          <w:bCs/>
          <w:sz w:val="24"/>
          <w:szCs w:val="24"/>
        </w:rPr>
      </w:pPr>
      <w:r>
        <w:rPr>
          <w:rFonts w:hint="eastAsia" w:cs="宋体"/>
          <w:b/>
          <w:bCs/>
          <w:sz w:val="24"/>
          <w:szCs w:val="24"/>
        </w:rPr>
        <w:t>八.保密与非竞争</w:t>
      </w:r>
      <w:bookmarkEnd w:id="10"/>
    </w:p>
    <w:p>
      <w:pPr>
        <w:spacing w:line="384" w:lineRule="auto"/>
        <w:ind w:firstLine="480" w:firstLineChars="200"/>
        <w:rPr>
          <w:rFonts w:hint="eastAsia" w:ascii="宋体" w:hAnsi="宋体" w:cs="宋体"/>
          <w:sz w:val="24"/>
          <w:szCs w:val="24"/>
        </w:rPr>
      </w:pPr>
      <w:r>
        <w:rPr>
          <w:rFonts w:hint="eastAsia" w:ascii="宋体" w:hAnsi="宋体" w:cs="宋体"/>
          <w:sz w:val="24"/>
          <w:szCs w:val="24"/>
        </w:rPr>
        <w:t>甲乙双方同意按签订的《保密承诺书》执行。</w:t>
      </w:r>
      <w:bookmarkStart w:id="11" w:name="_Toc516238994"/>
    </w:p>
    <w:p>
      <w:pPr>
        <w:spacing w:line="384" w:lineRule="auto"/>
        <w:ind w:firstLine="482" w:firstLineChars="200"/>
        <w:rPr>
          <w:rFonts w:cs="宋体"/>
          <w:b/>
          <w:bCs/>
          <w:sz w:val="24"/>
          <w:szCs w:val="24"/>
        </w:rPr>
      </w:pPr>
      <w:r>
        <w:rPr>
          <w:rFonts w:hint="eastAsia" w:cs="宋体"/>
          <w:b/>
          <w:bCs/>
          <w:sz w:val="24"/>
          <w:szCs w:val="24"/>
        </w:rPr>
        <w:t>九.不可抗力</w:t>
      </w:r>
      <w:bookmarkEnd w:id="11"/>
    </w:p>
    <w:p>
      <w:pPr>
        <w:spacing w:line="384" w:lineRule="auto"/>
        <w:ind w:firstLine="480" w:firstLineChars="200"/>
        <w:rPr>
          <w:rFonts w:hint="eastAsia" w:ascii="宋体" w:hAnsi="宋体" w:cs="宋体"/>
          <w:sz w:val="24"/>
          <w:szCs w:val="24"/>
        </w:rPr>
      </w:pPr>
      <w:r>
        <w:rPr>
          <w:rFonts w:hint="eastAsia" w:ascii="宋体" w:hAnsi="宋体" w:cs="宋体"/>
          <w:sz w:val="24"/>
          <w:szCs w:val="24"/>
        </w:rPr>
        <w:t>1.不可抗力必须是指一方不可控制的并不可预见的事件，包括但不限于以下：</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（1）自然灾害、地震、洪水、雷击、火灾、磁电窜入等；</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（2）战争或准战争状态、恐怖活动、戒严、骚乱、罢工、政府行为或电信管制等。</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2.由于上述不可抗力因素致使乙方无法按合同规定的时间完成服务，则此类延误将被视为不可抗力，乙方不承担违约责任，但必须及时书面通知甲方。</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3.在不可抗力事件发生后十日内，受不可抗力影响一方应以挂号信或电子邮件的方式将有关部门出具的证明送达对方，否则对方可不予承认其遭受不可抗力影响，并需承担违约责任。</w:t>
      </w:r>
      <w:bookmarkStart w:id="12" w:name="_Toc516238995"/>
    </w:p>
    <w:p>
      <w:pPr>
        <w:spacing w:line="384" w:lineRule="auto"/>
        <w:ind w:firstLine="482" w:firstLineChars="200"/>
        <w:rPr>
          <w:rFonts w:cs="宋体"/>
          <w:b/>
          <w:bCs/>
          <w:sz w:val="24"/>
          <w:szCs w:val="24"/>
        </w:rPr>
      </w:pPr>
      <w:r>
        <w:rPr>
          <w:rFonts w:hint="eastAsia" w:cs="宋体"/>
          <w:b/>
          <w:bCs/>
          <w:sz w:val="24"/>
          <w:szCs w:val="24"/>
        </w:rPr>
        <w:t>十.项目变更</w:t>
      </w:r>
      <w:bookmarkEnd w:id="12"/>
    </w:p>
    <w:p>
      <w:pPr>
        <w:spacing w:line="384" w:lineRule="auto"/>
        <w:ind w:firstLine="480" w:firstLineChars="200"/>
        <w:rPr>
          <w:rFonts w:hint="eastAsia" w:ascii="宋体" w:hAnsi="宋体" w:cs="宋体"/>
          <w:sz w:val="24"/>
          <w:szCs w:val="24"/>
        </w:rPr>
      </w:pPr>
      <w:r>
        <w:rPr>
          <w:rFonts w:hint="eastAsia" w:ascii="宋体" w:hAnsi="宋体" w:cs="宋体"/>
          <w:sz w:val="24"/>
          <w:szCs w:val="24"/>
        </w:rPr>
        <w:t>为了维护和兼顾各方的利益，确保项目顺利实施的，在本合同签署后，甲、乙双方均有权在履行本合同的过程中合理地提出变更、扩展、替换或修改本项目的某些部分的建议。为此，双方同意：</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1.甲方应当将变更请求以书面形式提交给乙方。乙方应在 3 个工作日内对此作出书面回复，其内容包括该变更对合同价格、项目交付日期以及对合同条款的影响等。</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2.甲方在收到乙方的回复后，应在 3 个工作日内以书面方式通知乙方是否接受乙方上述回复。如果甲方接受乙方的上述回复，则双方应对此变更以书面形式予以确认，并按变更后的约定履行本合同。</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3.如乙方提出部分项目的变更建议，乙方应同时详细阐明该变更对合同价格、项目交付日期以及对合同条款的影响等。</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4.甲方在收到乙方的上述变更建议后，应当在3个工作日内以书面方式通知乙方是否同意和接受乙方的上述变更建议。如果甲方接受回复，则双方对此变更以书面形式作出确认，双方按照变更后的约定履行本合同。如甲方不同意乙方的上述建议，双方仍按原合同执行，但由此而产生的相关风险，包括信息系统的风险由乙方承担。</w:t>
      </w:r>
      <w:bookmarkStart w:id="13" w:name="_Toc516238996"/>
    </w:p>
    <w:p>
      <w:pPr>
        <w:spacing w:line="384" w:lineRule="auto"/>
        <w:ind w:firstLine="482" w:firstLineChars="200"/>
        <w:rPr>
          <w:rFonts w:cs="宋体"/>
          <w:b/>
          <w:bCs/>
          <w:sz w:val="24"/>
          <w:szCs w:val="24"/>
        </w:rPr>
      </w:pPr>
      <w:r>
        <w:rPr>
          <w:rFonts w:hint="eastAsia" w:cs="宋体"/>
          <w:b/>
          <w:bCs/>
          <w:sz w:val="24"/>
          <w:szCs w:val="24"/>
        </w:rPr>
        <w:t>十一.违约与赔偿责任</w:t>
      </w:r>
      <w:bookmarkEnd w:id="13"/>
    </w:p>
    <w:p>
      <w:pPr>
        <w:spacing w:line="384" w:lineRule="auto"/>
        <w:ind w:firstLine="480" w:firstLineChars="200"/>
        <w:rPr>
          <w:rFonts w:hint="eastAsia" w:ascii="宋体" w:hAnsi="宋体" w:cs="宋体"/>
          <w:sz w:val="24"/>
          <w:szCs w:val="24"/>
        </w:rPr>
      </w:pPr>
      <w:r>
        <w:rPr>
          <w:rFonts w:hint="eastAsia" w:ascii="宋体" w:hAnsi="宋体" w:cs="宋体"/>
          <w:sz w:val="24"/>
          <w:szCs w:val="24"/>
        </w:rPr>
        <w:t>1.乙方违约责任：</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（1）乙方必须在规定的工期内完工，若由于乙方原因导致工期延误的，每延迟一天，按本合同总价0.1‰承担违约金，此项违约金总额最高不超过合同总额的10%。</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乙方未经甲方同意中途停工、私自撤离工程队伍，不按照合同规定履行合同义务的；以及乙方或乙方雇员到甲方的用户单位寻衅滋事，给甲方造成不良影响的，甲方有权解除本合同，并且要求乙方赔偿因此给甲方造成的直接与间接的经济损失。</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在甲方下达工程整改通知书后，如乙方未在规定时间内完成整改工作，则每延迟一天应以合同金额的0.1‰承担逾期违约金；另外，如因进度需要，甲方有权另行聘请人员去整改，乙方需承担因此所发生的一切费用。</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（4）乙方在现场施工过程中有不文明行为，施工完毕未按要求将工程垃圾清扫干净的，每发现或接到投诉一次，扣款人民币500-2000元。</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（5）乙方未经甲方许可随意撤换现场施工及管理人员的，按人民币1000元/人·次进行扣款，未经甲方许可撤换更换项目负责人的，按人民币2万元/次进行处罚。</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（6）若乙方在施工过程中向甲方虚报、瞒报工程进度以及其它弄虚作假行为的，一经发现，视情节的轻重，甲方有权利对乙方进行人民币1000元—5000元的扣款。</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7）现场检查发现乙方提供的工程辅材不符合甲方提出的质量要求，甲方有权要求全部更换，更换后乙方将再次复检，若再次被检查出质量问题，除要求进行整改外将被处以人民币5000元以上的罚款，且甲方有权终止合同，并拒付余下未付的工程款项，但甲方指定采购或建议采购的除外。</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8）倘若乙方（含其安排的工程人员）的服务内容有质量瑕疵或安全隐患，导致工程项目无法通过验收或给甲方造成损失的，或者甲方对乙方交付的服务内容不满意或提出合理意见的，乙方应满足其要求。否则乙方除无权获得合同价款外，还应全面赔偿甲方所遭受的一切损失。</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若乙方违反上述条款，甲方除要求乙方支付赔偿金和违约金外，有权要求乙方赔偿甲方直接与间接的经济损失。</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（9）以上所有的违约金甲方将在最近一笔支付给乙方的工程费中直接扣除，不足部分需由乙方限期内支付给甲方。</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2.甲方违约责任：</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1）在乙方无任何违约、过错或不当行为的情形下，如甲方故意不按合同规定的时间将工程费用全部付清，则每延迟付款一天，甲方应按欠付金额的0.1‰向乙方支付违约金，此项违约金最高不超过合同金额的10%。</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（2）如因甲方没有做好前期准备，不能及时提供必要的工作条件，则由此引起的延误责任由甲方承担。</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3.违约赔偿</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如守约方按上述违约条款要求违约方支付违约金或赔偿金时，应书面通知违约方并说明违约金或赔偿金额；违约方应在收到通知后十天内将违约金支付给对方；如违约方对违约金或赔偿金额有异议，应在收到通知后一周内通知对方，双方应在收到对方的通知或答复后尽快协商明确违约责任。违约方应在双方就违约金或赔偿金金额达成协议后的十天内将违约金或赔偿金支付给对方。</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4.在上述违约期的计算中，应扣除第九条中不可抗力因素所造成的延迟。</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5.保密违约</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任何一方违反本合同所规定的保密义务，违约方应当支付本合同总金额的 10 %作为违约金。如果发生违约事件，履约方要求违约方支付违约金时，应当以书面方式通知违约方，内容包括违约事件、违约金、支付时间和方式等。违约方在收到上述通知后，应当于5天内答复对方，并支付违约金。如果双方不能就此达成一致意见，可以按照本合同所规定的争议解决条款解决双方的纠纷，但任何一方不得采取非法手段或以损害本项目的方式实现违约金。</w:t>
      </w:r>
      <w:bookmarkStart w:id="14" w:name="_Toc516238997"/>
    </w:p>
    <w:p>
      <w:pPr>
        <w:spacing w:line="384" w:lineRule="auto"/>
        <w:ind w:firstLine="482" w:firstLineChars="200"/>
        <w:rPr>
          <w:rFonts w:cs="宋体"/>
          <w:b/>
          <w:bCs/>
          <w:sz w:val="24"/>
          <w:szCs w:val="24"/>
        </w:rPr>
      </w:pPr>
      <w:r>
        <w:rPr>
          <w:rFonts w:hint="eastAsia" w:cs="宋体"/>
          <w:b/>
          <w:bCs/>
          <w:sz w:val="24"/>
          <w:szCs w:val="24"/>
        </w:rPr>
        <w:t>十二.争议解决</w:t>
      </w:r>
      <w:bookmarkEnd w:id="14"/>
    </w:p>
    <w:p>
      <w:pPr>
        <w:spacing w:line="384" w:lineRule="auto"/>
        <w:ind w:firstLine="480" w:firstLineChars="200"/>
        <w:rPr>
          <w:rFonts w:hint="eastAsia" w:ascii="宋体" w:hAnsi="宋体" w:cs="宋体"/>
          <w:sz w:val="24"/>
          <w:szCs w:val="24"/>
        </w:rPr>
      </w:pPr>
      <w:r>
        <w:rPr>
          <w:rFonts w:hint="eastAsia" w:ascii="宋体" w:hAnsi="宋体" w:cs="宋体"/>
          <w:sz w:val="24"/>
          <w:szCs w:val="24"/>
        </w:rPr>
        <w:t>1.双方因为合同解释或合同履行发生争议的，应先进行友好协商。若7天内协商不成，则任何一方均有权</w:t>
      </w:r>
      <w:bookmarkStart w:id="18" w:name="_GoBack"/>
      <w:bookmarkEnd w:id="18"/>
      <w:r>
        <w:rPr>
          <w:rFonts w:hint="eastAsia" w:ascii="宋体" w:hAnsi="宋体" w:cs="宋体"/>
          <w:sz w:val="24"/>
          <w:szCs w:val="24"/>
        </w:rPr>
        <w:t>向工程所在地人民法院提起诉讼。</w:t>
      </w:r>
      <w:r>
        <w:rPr>
          <w:rFonts w:hint="eastAsia" w:ascii="宋体" w:hAnsi="宋体" w:cs="宋体"/>
          <w:sz w:val="24"/>
          <w:szCs w:val="24"/>
          <w:highlight w:val="none"/>
        </w:rPr>
        <w:t>因诉讼产生的包括但不限于诉讼费、保全费、保全保险费、鉴定费、公证费、律师费等均由违约方承担。</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2.争议解决期间，除争议事项外，双方都应继续履行各自在本合同中的其他义务。</w:t>
      </w:r>
      <w:bookmarkStart w:id="15" w:name="_Toc516238998"/>
    </w:p>
    <w:p>
      <w:pPr>
        <w:spacing w:line="384" w:lineRule="auto"/>
        <w:ind w:firstLine="482" w:firstLineChars="200"/>
        <w:rPr>
          <w:rFonts w:cs="宋体"/>
          <w:b/>
          <w:bCs/>
          <w:sz w:val="24"/>
          <w:szCs w:val="24"/>
        </w:rPr>
      </w:pPr>
      <w:r>
        <w:rPr>
          <w:rFonts w:hint="eastAsia" w:cs="宋体"/>
          <w:b/>
          <w:bCs/>
          <w:sz w:val="24"/>
          <w:szCs w:val="24"/>
        </w:rPr>
        <w:t>十三.合同变更和解除</w:t>
      </w:r>
      <w:bookmarkEnd w:id="15"/>
    </w:p>
    <w:p>
      <w:pPr>
        <w:spacing w:line="384" w:lineRule="auto"/>
        <w:ind w:firstLine="480" w:firstLineChars="200"/>
        <w:rPr>
          <w:rFonts w:hint="eastAsia" w:ascii="宋体" w:hAnsi="宋体" w:cs="宋体"/>
          <w:sz w:val="24"/>
          <w:szCs w:val="24"/>
        </w:rPr>
      </w:pPr>
      <w:r>
        <w:rPr>
          <w:rFonts w:hint="eastAsia" w:ascii="宋体" w:hAnsi="宋体" w:cs="宋体"/>
          <w:sz w:val="24"/>
          <w:szCs w:val="24"/>
        </w:rPr>
        <w:t>1.本合同履行期间，发生特殊情况时，任何一方需变更本合同的，要求变更一方应及时书面通知对方，征得对方同意后，双方在规定的时限内（书面通知发出10个工作日内）签订书面变更协议，该协议将成为合同不可分割的部分。未经双方签署书面文件，任何一方无权变更本合同，否则，由此造成对方的经济损失，由责任方承担。</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2.除本合同第十一条约定的情形外，合同期间，乙方有下列违约行为之一者，视为严重违约行为，甲方有权即时解除合同，且乙方除应向甲方支付相当于合同费用总金额20%的违约金外，还应赔偿甲方相关损失：</w:t>
      </w:r>
    </w:p>
    <w:p>
      <w:pPr>
        <w:spacing w:line="384" w:lineRule="auto"/>
        <w:ind w:left="560"/>
        <w:rPr>
          <w:rFonts w:hint="eastAsia" w:ascii="宋体" w:hAnsi="宋体" w:cs="宋体"/>
          <w:sz w:val="24"/>
          <w:szCs w:val="24"/>
        </w:rPr>
      </w:pPr>
      <w:r>
        <w:rPr>
          <w:rFonts w:hint="eastAsia" w:ascii="宋体" w:hAnsi="宋体" w:cs="宋体"/>
          <w:sz w:val="24"/>
          <w:szCs w:val="24"/>
        </w:rPr>
        <w:t>（1）乙方及乙方工作人员有违反知识产权条款之行为的。</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（2）乙方有其他导致甲方企业形象或品牌形象受到损害的严重违约行为的。</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（3）拒不接受甲方的整改通知的。</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3.签订合同后，甲方明确表示不履行合同或者不能履行合同的，乙方有权解除本合同，并要求甲方赔偿相关损失。</w:t>
      </w:r>
    </w:p>
    <w:p>
      <w:pPr>
        <w:spacing w:line="384" w:lineRule="auto"/>
        <w:ind w:firstLine="480" w:firstLineChars="200"/>
        <w:rPr>
          <w:rFonts w:hint="eastAsia" w:ascii="宋体" w:hAnsi="宋体" w:cs="宋体"/>
          <w:sz w:val="24"/>
          <w:szCs w:val="24"/>
        </w:rPr>
      </w:pPr>
      <w:r>
        <w:rPr>
          <w:rFonts w:hint="eastAsia" w:ascii="宋体" w:hAnsi="宋体" w:cs="宋体"/>
          <w:sz w:val="24"/>
          <w:szCs w:val="24"/>
        </w:rPr>
        <w:t>4.合同的解除不影响争议解决、违约责任等条款的效力。</w:t>
      </w:r>
      <w:bookmarkStart w:id="16" w:name="_Toc516238999"/>
    </w:p>
    <w:p>
      <w:pPr>
        <w:spacing w:line="384" w:lineRule="auto"/>
        <w:ind w:firstLine="482" w:firstLineChars="200"/>
        <w:rPr>
          <w:rFonts w:cs="宋体"/>
          <w:b/>
          <w:bCs/>
          <w:sz w:val="24"/>
          <w:szCs w:val="24"/>
        </w:rPr>
      </w:pPr>
      <w:r>
        <w:rPr>
          <w:rFonts w:hint="eastAsia" w:cs="宋体"/>
          <w:b/>
          <w:bCs/>
          <w:sz w:val="24"/>
          <w:szCs w:val="24"/>
        </w:rPr>
        <w:t>十四.合同生效及其它约定事项</w:t>
      </w:r>
      <w:bookmarkEnd w:id="16"/>
    </w:p>
    <w:p>
      <w:pPr>
        <w:spacing w:line="384" w:lineRule="auto"/>
        <w:ind w:firstLine="480" w:firstLineChars="200"/>
        <w:rPr>
          <w:rFonts w:hint="eastAsia" w:ascii="宋体" w:hAnsi="宋体" w:cs="宋体"/>
          <w:sz w:val="24"/>
          <w:szCs w:val="24"/>
        </w:rPr>
      </w:pPr>
      <w:r>
        <w:rPr>
          <w:rFonts w:hint="eastAsia" w:ascii="宋体" w:hAnsi="宋体" w:cs="宋体"/>
          <w:sz w:val="24"/>
          <w:szCs w:val="24"/>
        </w:rPr>
        <w:t>1.本合同自甲乙双方签字盖章之日起生效，合同一式十份，甲方执五份，乙方执五份，均具有同等法律效力。</w:t>
      </w:r>
    </w:p>
    <w:p>
      <w:pPr>
        <w:spacing w:line="384" w:lineRule="auto"/>
        <w:ind w:firstLine="480" w:firstLineChars="200"/>
        <w:rPr>
          <w:rFonts w:hint="eastAsia" w:ascii="宋体" w:hAnsi="宋体" w:cs="宋体"/>
          <w:sz w:val="28"/>
          <w:szCs w:val="28"/>
        </w:rPr>
      </w:pPr>
      <w:r>
        <w:rPr>
          <w:rFonts w:hint="eastAsia" w:ascii="宋体" w:hAnsi="宋体" w:cs="宋体"/>
          <w:sz w:val="24"/>
          <w:szCs w:val="24"/>
        </w:rPr>
        <w:t>2.如有未尽事宜，合同双方可在附件中说明。本合同中的附件以及本项目的招、投标文件、会议纪要等均为本合同不可分割的部分，与本合同具有相同的法律效力。若附件内容与本合同正文内容发生冲突的，以本合同正文内容为准。</w:t>
      </w:r>
    </w:p>
    <w:tbl>
      <w:tblPr>
        <w:tblStyle w:val="19"/>
        <w:tblW w:w="0" w:type="auto"/>
        <w:tblInd w:w="0" w:type="dxa"/>
        <w:tblLayout w:type="fixed"/>
        <w:tblCellMar>
          <w:top w:w="0" w:type="dxa"/>
          <w:left w:w="108" w:type="dxa"/>
          <w:bottom w:w="0" w:type="dxa"/>
          <w:right w:w="108" w:type="dxa"/>
        </w:tblCellMar>
      </w:tblPr>
      <w:tblGrid>
        <w:gridCol w:w="1526"/>
        <w:gridCol w:w="3094"/>
        <w:gridCol w:w="1584"/>
        <w:gridCol w:w="3038"/>
      </w:tblGrid>
      <w:tr>
        <w:tblPrEx>
          <w:tblCellMar>
            <w:top w:w="0" w:type="dxa"/>
            <w:left w:w="108" w:type="dxa"/>
            <w:bottom w:w="0" w:type="dxa"/>
            <w:right w:w="108" w:type="dxa"/>
          </w:tblCellMar>
        </w:tblPrEx>
        <w:trPr>
          <w:trHeight w:val="1191" w:hRule="atLeast"/>
        </w:trPr>
        <w:tc>
          <w:tcPr>
            <w:tcW w:w="1526" w:type="dxa"/>
          </w:tcPr>
          <w:p>
            <w:pPr>
              <w:spacing w:line="360" w:lineRule="auto"/>
              <w:jc w:val="distribute"/>
              <w:rPr>
                <w:rFonts w:hint="eastAsia" w:ascii="宋体" w:hAnsi="宋体" w:cs="宋体"/>
                <w:sz w:val="28"/>
                <w:szCs w:val="28"/>
              </w:rPr>
            </w:pPr>
            <w:r>
              <w:rPr>
                <w:rFonts w:hint="eastAsia" w:ascii="宋体" w:hAnsi="宋体" w:cs="宋体"/>
                <w:bCs/>
                <w:sz w:val="28"/>
                <w:szCs w:val="28"/>
              </w:rPr>
              <w:t>甲方：</w:t>
            </w:r>
          </w:p>
        </w:tc>
        <w:tc>
          <w:tcPr>
            <w:tcW w:w="3094" w:type="dxa"/>
          </w:tcPr>
          <w:p>
            <w:pPr>
              <w:spacing w:line="360" w:lineRule="auto"/>
              <w:rPr>
                <w:rFonts w:hint="eastAsia" w:ascii="宋体" w:hAnsi="宋体" w:cs="宋体"/>
                <w:sz w:val="28"/>
                <w:szCs w:val="28"/>
              </w:rPr>
            </w:pPr>
          </w:p>
        </w:tc>
        <w:tc>
          <w:tcPr>
            <w:tcW w:w="1584" w:type="dxa"/>
          </w:tcPr>
          <w:p>
            <w:pPr>
              <w:spacing w:line="360" w:lineRule="auto"/>
              <w:jc w:val="distribute"/>
              <w:rPr>
                <w:rFonts w:hint="eastAsia" w:ascii="宋体" w:hAnsi="宋体" w:cs="宋体"/>
                <w:sz w:val="28"/>
                <w:szCs w:val="28"/>
              </w:rPr>
            </w:pPr>
            <w:r>
              <w:rPr>
                <w:rFonts w:hint="eastAsia" w:ascii="宋体" w:hAnsi="宋体" w:cs="宋体"/>
                <w:bCs/>
                <w:sz w:val="28"/>
                <w:szCs w:val="28"/>
              </w:rPr>
              <w:t>乙方：</w:t>
            </w:r>
          </w:p>
        </w:tc>
        <w:tc>
          <w:tcPr>
            <w:tcW w:w="3038" w:type="dxa"/>
          </w:tcPr>
          <w:p>
            <w:pPr>
              <w:spacing w:line="360" w:lineRule="auto"/>
              <w:rPr>
                <w:rFonts w:hint="eastAsia" w:ascii="宋体" w:hAnsi="宋体" w:cs="宋体"/>
                <w:sz w:val="28"/>
                <w:szCs w:val="28"/>
                <w:u w:val="single"/>
              </w:rPr>
            </w:pPr>
          </w:p>
        </w:tc>
      </w:tr>
    </w:tbl>
    <w:p>
      <w:pPr>
        <w:spacing w:line="360" w:lineRule="auto"/>
        <w:ind w:left="1260" w:leftChars="600" w:firstLine="5180" w:firstLineChars="1850"/>
        <w:rPr>
          <w:rFonts w:hint="eastAsia" w:ascii="宋体" w:hAnsi="宋体" w:cs="宋体"/>
          <w:sz w:val="28"/>
          <w:szCs w:val="28"/>
        </w:rPr>
      </w:pPr>
    </w:p>
    <w:p>
      <w:pPr>
        <w:spacing w:line="360" w:lineRule="auto"/>
        <w:rPr>
          <w:rFonts w:hint="eastAsia" w:ascii="宋体" w:hAnsi="宋体" w:cs="宋体"/>
          <w:bCs/>
          <w:sz w:val="28"/>
          <w:szCs w:val="28"/>
        </w:rPr>
      </w:pPr>
      <w:r>
        <w:rPr>
          <w:rFonts w:hint="eastAsia" w:ascii="宋体" w:hAnsi="宋体" w:cs="宋体"/>
          <w:bCs/>
          <w:sz w:val="28"/>
          <w:szCs w:val="28"/>
        </w:rPr>
        <w:t>代表签字：                                 代表签字：</w:t>
      </w:r>
    </w:p>
    <w:p>
      <w:pPr>
        <w:spacing w:line="360" w:lineRule="auto"/>
        <w:ind w:left="-540" w:leftChars="-257" w:firstLine="540"/>
        <w:rPr>
          <w:rFonts w:hint="eastAsia" w:ascii="宋体" w:hAnsi="宋体" w:cs="宋体"/>
          <w:bCs/>
          <w:sz w:val="28"/>
          <w:szCs w:val="28"/>
        </w:rPr>
      </w:pPr>
      <w:r>
        <w:rPr>
          <w:rFonts w:hint="eastAsia" w:ascii="宋体" w:hAnsi="宋体" w:cs="宋体"/>
          <w:bCs/>
          <w:sz w:val="28"/>
          <w:szCs w:val="28"/>
        </w:rPr>
        <w:t>日    期：                                 日   期：</w:t>
      </w:r>
    </w:p>
    <w:p>
      <w:pPr>
        <w:pStyle w:val="9"/>
        <w:jc w:val="left"/>
        <w:rPr>
          <w:rFonts w:hint="eastAsia" w:ascii="宋体" w:hAnsi="宋体" w:cs="宋体"/>
          <w:bCs/>
          <w:sz w:val="28"/>
          <w:szCs w:val="28"/>
        </w:rPr>
      </w:pPr>
    </w:p>
    <w:p>
      <w:pPr>
        <w:pStyle w:val="2"/>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17" w:name="_Toc517717029"/>
      <w:r>
        <w:rPr>
          <w:rFonts w:hint="eastAsia" w:asciiTheme="minorEastAsia" w:hAnsiTheme="minorEastAsia" w:eastAsiaTheme="minorEastAsia"/>
          <w:color w:val="000000" w:themeColor="text1"/>
          <w14:textFill>
            <w14:solidFill>
              <w14:schemeClr w14:val="tx1"/>
            </w14:solidFill>
          </w14:textFill>
        </w:rPr>
        <w:t xml:space="preserve">          第六章   投标文件格式</w:t>
      </w:r>
      <w:bookmarkEnd w:id="17"/>
    </w:p>
    <w:p>
      <w:pPr>
        <w:spacing w:before="156" w:beforeLines="50" w:after="156" w:afterLines="50" w:line="360" w:lineRule="auto"/>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一、法人代表委托书原件及被授权人身份证复印件</w:t>
      </w:r>
    </w:p>
    <w:p>
      <w:pPr>
        <w:spacing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u w:val="single"/>
          <w14:textFill>
            <w14:solidFill>
              <w14:schemeClr w14:val="tx1"/>
            </w14:solidFill>
          </w14:textFill>
        </w:rPr>
        <w:t>南通市总工会</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兹授权</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zh-CN"/>
          <w14:textFill>
            <w14:solidFill>
              <w14:schemeClr w14:val="tx1"/>
            </w14:solidFill>
          </w14:textFill>
        </w:rPr>
        <w:t>（</w:t>
      </w:r>
      <w:r>
        <w:rPr>
          <w:rFonts w:hint="eastAsia" w:asciiTheme="minorEastAsia" w:hAnsiTheme="minorEastAsia"/>
          <w:color w:val="000000" w:themeColor="text1"/>
          <w:sz w:val="24"/>
          <w:szCs w:val="24"/>
          <w:lang w:val="zh-CN"/>
          <w14:textFill>
            <w14:solidFill>
              <w14:schemeClr w14:val="tx1"/>
            </w14:solidFill>
          </w14:textFill>
        </w:rPr>
        <w:t>被授权人的姓名）代表我公司参加</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项目的政府采购活动，全权处理一切与该项目投标有关的事务。其在办理上述事宜过程中所签署的所有文件我公司均予以承认。</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附：被授权人情况：</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姓名： 性别： 年龄： 职务：</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身份证号码：</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手机： 传真：</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单位名称（公章）   法定代表人（签字）</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年月日</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被授权人身份证复印件</w:t>
      </w: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p>
    <w:p>
      <w:pPr>
        <w:spacing w:line="360" w:lineRule="auto"/>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法定代表人身份证复印件</w:t>
      </w: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ind w:firstLine="480" w:firstLineChars="200"/>
        <w:jc w:val="center"/>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br w:type="page"/>
      </w:r>
    </w:p>
    <w:p>
      <w:pPr>
        <w:spacing w:line="360" w:lineRule="auto"/>
        <w:ind w:firstLine="480" w:firstLineChars="200"/>
        <w:jc w:val="center"/>
        <w:rPr>
          <w:rFonts w:hint="eastAsia" w:asciiTheme="minorEastAsia" w:hAnsiTheme="minorEastAsia"/>
          <w:color w:val="000000" w:themeColor="text1"/>
          <w:sz w:val="24"/>
          <w:szCs w:val="24"/>
          <w14:textFill>
            <w14:solidFill>
              <w14:schemeClr w14:val="tx1"/>
            </w14:solidFill>
          </w14:textFill>
        </w:rPr>
      </w:pPr>
    </w:p>
    <w:p>
      <w:pPr>
        <w:spacing w:line="360" w:lineRule="auto"/>
        <w:ind w:firstLine="602" w:firstLineChars="200"/>
        <w:jc w:val="center"/>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30"/>
          <w:szCs w:val="30"/>
          <w:lang w:val="zh-CN"/>
          <w14:textFill>
            <w14:solidFill>
              <w14:schemeClr w14:val="tx1"/>
            </w14:solidFill>
          </w14:textFill>
        </w:rPr>
        <w:t>二、无重大违法记录声明</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南通市总工会：</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我单位</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（供应商名称）郑重声明：</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参加政府采购活动前3年内在经营活动中 </w:t>
      </w:r>
      <w:r>
        <w:rPr>
          <w:rFonts w:hint="eastAsia" w:asciiTheme="minorEastAsia" w:hAnsiTheme="minorEastAsia"/>
          <w:color w:val="000000" w:themeColor="text1"/>
          <w:sz w:val="24"/>
          <w:szCs w:val="24"/>
          <w:u w:val="single"/>
          <w:lang w:val="zh-CN"/>
          <w14:textFill>
            <w14:solidFill>
              <w14:schemeClr w14:val="tx1"/>
            </w14:solidFill>
          </w14:textFill>
        </w:rPr>
        <w:t xml:space="preserve">       </w:t>
      </w:r>
      <w:r>
        <w:rPr>
          <w:rFonts w:hint="eastAsia" w:asciiTheme="minorEastAsia" w:hAnsiTheme="minorEastAsia"/>
          <w:color w:val="000000" w:themeColor="text1"/>
          <w:sz w:val="24"/>
          <w:szCs w:val="24"/>
          <w:lang w:val="zh-CN"/>
          <w14:textFill>
            <w14:solidFill>
              <w14:schemeClr w14:val="tx1"/>
            </w14:solidFill>
          </w14:textFill>
        </w:rPr>
        <w:t>（在下划线上如实填写：有或没有）重大违法记录。</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p>
    <w:p>
      <w:pPr>
        <w:spacing w:line="360" w:lineRule="auto"/>
        <w:ind w:firstLine="6480" w:firstLineChars="27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声明人：（公章）</w:t>
      </w:r>
    </w:p>
    <w:p>
      <w:pPr>
        <w:spacing w:line="360" w:lineRule="auto"/>
        <w:ind w:firstLine="480" w:firstLineChars="200"/>
        <w:rPr>
          <w:rFonts w:hint="eastAsia"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 xml:space="preserve">                                                  年     月    日</w:t>
      </w: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p>
    <w:p>
      <w:pPr>
        <w:spacing w:before="156" w:beforeLines="50" w:after="156" w:afterLines="50" w:line="360" w:lineRule="auto"/>
        <w:ind w:firstLine="3373" w:firstLineChars="140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三、磋商报价表</w:t>
      </w:r>
    </w:p>
    <w:p>
      <w:pPr>
        <w:spacing w:line="360" w:lineRule="auto"/>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磋商报价表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2276"/>
        <w:gridCol w:w="2370"/>
        <w:gridCol w:w="260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13" w:type="pct"/>
            <w:vAlign w:val="center"/>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序号</w:t>
            </w:r>
          </w:p>
        </w:tc>
        <w:tc>
          <w:tcPr>
            <w:tcW w:w="1190" w:type="pct"/>
            <w:vAlign w:val="center"/>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名称</w:t>
            </w:r>
          </w:p>
        </w:tc>
        <w:tc>
          <w:tcPr>
            <w:tcW w:w="1239" w:type="pct"/>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数量</w:t>
            </w:r>
          </w:p>
        </w:tc>
        <w:tc>
          <w:tcPr>
            <w:tcW w:w="1360" w:type="pct"/>
            <w:vAlign w:val="center"/>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金额（元）</w:t>
            </w:r>
          </w:p>
        </w:tc>
        <w:tc>
          <w:tcPr>
            <w:tcW w:w="597" w:type="pct"/>
            <w:vAlign w:val="center"/>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13" w:type="pct"/>
            <w:vAlign w:val="center"/>
          </w:tcPr>
          <w:p>
            <w:pPr>
              <w:spacing w:line="360" w:lineRule="auto"/>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p>
        </w:tc>
        <w:tc>
          <w:tcPr>
            <w:tcW w:w="1190" w:type="pct"/>
            <w:vAlign w:val="center"/>
          </w:tcPr>
          <w:p>
            <w:pPr>
              <w:spacing w:line="36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南通市总工会职工之家阵地建设项目</w:t>
            </w:r>
          </w:p>
        </w:tc>
        <w:tc>
          <w:tcPr>
            <w:tcW w:w="1239" w:type="pct"/>
          </w:tcPr>
          <w:p>
            <w:pPr>
              <w:spacing w:line="360" w:lineRule="auto"/>
              <w:rPr>
                <w:rFonts w:hint="eastAsia" w:cs="宋体" w:asciiTheme="minorEastAsia" w:hAnsiTheme="minorEastAsia"/>
                <w:color w:val="000000" w:themeColor="text1"/>
                <w:sz w:val="24"/>
                <w:szCs w:val="24"/>
                <w14:textFill>
                  <w14:solidFill>
                    <w14:schemeClr w14:val="tx1"/>
                  </w14:solidFill>
                </w14:textFill>
              </w:rPr>
            </w:pPr>
          </w:p>
        </w:tc>
        <w:tc>
          <w:tcPr>
            <w:tcW w:w="1360" w:type="pct"/>
            <w:vAlign w:val="center"/>
          </w:tcPr>
          <w:p>
            <w:pPr>
              <w:spacing w:line="360" w:lineRule="auto"/>
              <w:rPr>
                <w:rFonts w:hint="eastAsia" w:cs="宋体" w:asciiTheme="minorEastAsia" w:hAnsiTheme="minorEastAsia"/>
                <w:color w:val="000000" w:themeColor="text1"/>
                <w:sz w:val="24"/>
                <w:szCs w:val="24"/>
                <w14:textFill>
                  <w14:solidFill>
                    <w14:schemeClr w14:val="tx1"/>
                  </w14:solidFill>
                </w14:textFill>
              </w:rPr>
            </w:pPr>
          </w:p>
        </w:tc>
        <w:tc>
          <w:tcPr>
            <w:tcW w:w="597" w:type="pct"/>
            <w:vAlign w:val="center"/>
          </w:tcPr>
          <w:p>
            <w:pPr>
              <w:spacing w:line="360" w:lineRule="auto"/>
              <w:rPr>
                <w:rFonts w:hint="eastAsia" w:cs="宋体"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13" w:type="pct"/>
            <w:vAlign w:val="center"/>
          </w:tcPr>
          <w:p>
            <w:pPr>
              <w:spacing w:line="520" w:lineRule="exact"/>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磋商报价总计</w:t>
            </w:r>
          </w:p>
          <w:p>
            <w:pPr>
              <w:spacing w:line="360" w:lineRule="auto"/>
              <w:jc w:val="center"/>
              <w:rPr>
                <w:rFonts w:hint="eastAsia" w:cs="宋体" w:asciiTheme="minorEastAsia" w:hAnsiTheme="minorEastAsia"/>
                <w:bCs/>
                <w:color w:val="000000" w:themeColor="text1"/>
                <w:sz w:val="24"/>
                <w:szCs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首次</w:t>
            </w:r>
            <w:r>
              <w:rPr>
                <w:rFonts w:cs="宋体" w:asciiTheme="minorEastAsia" w:hAnsiTheme="minorEastAsia"/>
                <w:color w:val="000000" w:themeColor="text1"/>
                <w:sz w:val="24"/>
                <w14:textFill>
                  <w14:solidFill>
                    <w14:schemeClr w14:val="tx1"/>
                  </w14:solidFill>
                </w14:textFill>
              </w:rPr>
              <w:t>)</w:t>
            </w:r>
          </w:p>
        </w:tc>
        <w:tc>
          <w:tcPr>
            <w:tcW w:w="4386" w:type="pct"/>
            <w:gridSpan w:val="4"/>
            <w:vAlign w:val="center"/>
          </w:tcPr>
          <w:p>
            <w:pPr>
              <w:widowControl/>
              <w:adjustRightInd w:val="0"/>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大写：人民币</w:t>
            </w:r>
          </w:p>
          <w:p>
            <w:pPr>
              <w:spacing w:line="360" w:lineRule="auto"/>
              <w:jc w:val="left"/>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spacing w:line="360" w:lineRule="auto"/>
              <w:jc w:val="left"/>
              <w:rPr>
                <w:rFonts w:hint="eastAsia" w:cs="宋体" w:asciiTheme="minorEastAsia" w:hAnsi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13" w:type="pct"/>
            <w:vAlign w:val="center"/>
          </w:tcPr>
          <w:p>
            <w:pPr>
              <w:spacing w:line="520" w:lineRule="exact"/>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磋商报价总计</w:t>
            </w:r>
          </w:p>
          <w:p>
            <w:pPr>
              <w:spacing w:line="360" w:lineRule="auto"/>
              <w:jc w:val="center"/>
              <w:rPr>
                <w:rFonts w:hint="eastAsia" w:cs="宋体" w:asciiTheme="minorEastAsia" w:hAnsiTheme="minorEastAsia"/>
                <w:bCs/>
                <w:color w:val="000000" w:themeColor="text1"/>
                <w:sz w:val="24"/>
                <w:szCs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二次</w:t>
            </w:r>
            <w:r>
              <w:rPr>
                <w:rFonts w:cs="宋体" w:asciiTheme="minorEastAsia" w:hAnsiTheme="minorEastAsia"/>
                <w:color w:val="000000" w:themeColor="text1"/>
                <w:sz w:val="24"/>
                <w14:textFill>
                  <w14:solidFill>
                    <w14:schemeClr w14:val="tx1"/>
                  </w14:solidFill>
                </w14:textFill>
              </w:rPr>
              <w:t>)</w:t>
            </w:r>
          </w:p>
        </w:tc>
        <w:tc>
          <w:tcPr>
            <w:tcW w:w="4386" w:type="pct"/>
            <w:gridSpan w:val="4"/>
            <w:vAlign w:val="center"/>
          </w:tcPr>
          <w:p>
            <w:pPr>
              <w:widowControl/>
              <w:adjustRightInd w:val="0"/>
              <w:snapToGrid w:val="0"/>
              <w:spacing w:before="156" w:beforeLines="50" w:after="156" w:afterLines="50" w:line="360" w:lineRule="auto"/>
              <w:jc w:val="left"/>
              <w:rPr>
                <w:rFonts w:hint="eastAsia" w:ascii="宋体" w:hAnsi="宋体" w:cs="宋体"/>
                <w:sz w:val="24"/>
              </w:rPr>
            </w:pPr>
            <w:r>
              <w:rPr>
                <w:rFonts w:hint="eastAsia" w:ascii="宋体" w:hAnsi="宋体" w:cs="宋体"/>
                <w:sz w:val="24"/>
              </w:rPr>
              <w:t>大写：人民币</w:t>
            </w:r>
          </w:p>
          <w:p>
            <w:pPr>
              <w:spacing w:line="360" w:lineRule="auto"/>
              <w:jc w:val="left"/>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pPr>
              <w:spacing w:line="360" w:lineRule="auto"/>
              <w:jc w:val="left"/>
              <w:rPr>
                <w:rFonts w:hint="eastAsia" w:asciiTheme="minorEastAsia" w:hAnsiTheme="minorEastAsia"/>
                <w:bCs/>
                <w:color w:val="000000" w:themeColor="text1"/>
                <w:sz w:val="24"/>
                <w:szCs w:val="24"/>
                <w14:textFill>
                  <w14:solidFill>
                    <w14:schemeClr w14:val="tx1"/>
                  </w14:solidFill>
                </w14:textFill>
              </w:rPr>
            </w:pPr>
          </w:p>
        </w:tc>
      </w:tr>
    </w:tbl>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400" w:lineRule="exact"/>
        <w:ind w:left="842" w:leftChars="229" w:hanging="361" w:hangingChars="150"/>
        <w:rPr>
          <w:rFonts w:hint="eastAsia"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注：</w:t>
      </w:r>
      <w:r>
        <w:rPr>
          <w:rFonts w:cs="宋体" w:asciiTheme="minorEastAsia" w:hAnsiTheme="minorEastAsia"/>
          <w:b/>
          <w:color w:val="000000" w:themeColor="text1"/>
          <w:sz w:val="24"/>
          <w14:textFill>
            <w14:solidFill>
              <w14:schemeClr w14:val="tx1"/>
            </w14:solidFill>
          </w14:textFill>
        </w:rPr>
        <w:t>1.</w:t>
      </w:r>
      <w:r>
        <w:rPr>
          <w:rFonts w:hint="eastAsia" w:cs="宋体" w:asciiTheme="minorEastAsia" w:hAnsiTheme="minorEastAsia"/>
          <w:b/>
          <w:color w:val="000000" w:themeColor="text1"/>
          <w:sz w:val="24"/>
          <w14:textFill>
            <w14:solidFill>
              <w14:schemeClr w14:val="tx1"/>
            </w14:solidFill>
          </w14:textFill>
        </w:rPr>
        <w:t>磋商</w:t>
      </w:r>
      <w:r>
        <w:rPr>
          <w:rFonts w:hint="eastAsia" w:asciiTheme="minorEastAsia" w:hAnsiTheme="minorEastAsia"/>
          <w:b/>
          <w:color w:val="000000" w:themeColor="text1"/>
          <w:sz w:val="24"/>
          <w:szCs w:val="24"/>
          <w14:textFill>
            <w14:solidFill>
              <w14:schemeClr w14:val="tx1"/>
            </w14:solidFill>
          </w14:textFill>
        </w:rPr>
        <w:t>报价</w:t>
      </w:r>
      <w:r>
        <w:rPr>
          <w:rFonts w:hint="eastAsia" w:cs="宋体" w:asciiTheme="minorEastAsia" w:hAnsiTheme="minorEastAsia"/>
          <w:b/>
          <w:color w:val="000000" w:themeColor="text1"/>
          <w:sz w:val="24"/>
          <w14:textFill>
            <w14:solidFill>
              <w14:schemeClr w14:val="tx1"/>
            </w14:solidFill>
          </w14:textFill>
        </w:rPr>
        <w:t>文件密封提交时只需填写磋商报价总计（首次），二次报价将在开标现场填写。</w:t>
      </w:r>
    </w:p>
    <w:p>
      <w:pPr>
        <w:spacing w:line="400" w:lineRule="exact"/>
        <w:ind w:left="840" w:leftChars="400"/>
        <w:rPr>
          <w:rFonts w:hint="eastAsia" w:cs="宋体" w:asciiTheme="minorEastAsia" w:hAnsiTheme="minorEastAsia"/>
          <w:b/>
          <w:color w:val="000000" w:themeColor="text1"/>
          <w:sz w:val="24"/>
          <w14:textFill>
            <w14:solidFill>
              <w14:schemeClr w14:val="tx1"/>
            </w14:solidFill>
          </w14:textFill>
        </w:rPr>
      </w:pPr>
      <w:r>
        <w:rPr>
          <w:rFonts w:cs="宋体" w:asciiTheme="minorEastAsia" w:hAnsiTheme="minorEastAsia"/>
          <w:b/>
          <w:color w:val="000000" w:themeColor="text1"/>
          <w:sz w:val="24"/>
          <w14:textFill>
            <w14:solidFill>
              <w14:schemeClr w14:val="tx1"/>
            </w14:solidFill>
          </w14:textFill>
        </w:rPr>
        <w:t>2</w:t>
      </w:r>
      <w:r>
        <w:rPr>
          <w:rFonts w:hint="eastAsia" w:cs="宋体" w:asciiTheme="minorEastAsia" w:hAnsiTheme="minorEastAsia"/>
          <w:b/>
          <w:color w:val="000000" w:themeColor="text1"/>
          <w:sz w:val="24"/>
          <w14:textFill>
            <w14:solidFill>
              <w14:schemeClr w14:val="tx1"/>
            </w14:solidFill>
          </w14:textFill>
        </w:rPr>
        <w:t>、投标总报价（以人民币计价）应包含实施该项目所有费用。</w:t>
      </w: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jc w:val="left"/>
        <w:rPr>
          <w:rFonts w:hint="eastAsia" w:ascii="宋体" w:hAnsi="宋体"/>
          <w:sz w:val="24"/>
        </w:rPr>
      </w:pPr>
      <w:r>
        <w:rPr>
          <w:rFonts w:hint="eastAsia" w:ascii="宋体" w:hAnsi="宋体"/>
          <w:sz w:val="24"/>
        </w:rPr>
        <w:t>供应商</w:t>
      </w:r>
      <w:r>
        <w:rPr>
          <w:rFonts w:ascii="宋体" w:hAnsi="宋体"/>
          <w:sz w:val="24"/>
        </w:rPr>
        <w:t>（</w:t>
      </w:r>
      <w:r>
        <w:rPr>
          <w:rFonts w:hint="eastAsia" w:ascii="宋体" w:hAnsi="宋体" w:cs="宋体"/>
          <w:sz w:val="24"/>
        </w:rPr>
        <w:t>盖单位公章</w:t>
      </w:r>
      <w:r>
        <w:rPr>
          <w:rFonts w:ascii="宋体" w:hAnsi="宋体"/>
          <w:sz w:val="24"/>
        </w:rPr>
        <w:t xml:space="preserve">） </w:t>
      </w:r>
      <w:r>
        <w:rPr>
          <w:rFonts w:hint="eastAsia" w:ascii="宋体" w:hAnsi="宋体"/>
          <w:sz w:val="24"/>
        </w:rPr>
        <w:t>：</w:t>
      </w:r>
    </w:p>
    <w:p>
      <w:pPr>
        <w:spacing w:line="360" w:lineRule="auto"/>
        <w:jc w:val="left"/>
        <w:rPr>
          <w:rFonts w:hint="eastAsia" w:ascii="宋体" w:hAnsi="宋体" w:cs="宋体"/>
          <w:sz w:val="24"/>
        </w:rPr>
      </w:pPr>
      <w:r>
        <w:rPr>
          <w:rFonts w:hint="eastAsia" w:ascii="宋体" w:hAnsi="宋体" w:cs="宋体"/>
          <w:sz w:val="24"/>
        </w:rPr>
        <w:t>法定代表人（或其被授权人）（签字或盖章）：</w:t>
      </w:r>
    </w:p>
    <w:p>
      <w:pPr>
        <w:spacing w:line="360" w:lineRule="auto"/>
        <w:rPr>
          <w:rFonts w:hint="eastAsia" w:ascii="宋体" w:hAnsi="宋体" w:cs="宋体"/>
          <w:sz w:val="24"/>
        </w:rPr>
      </w:pPr>
      <w:r>
        <w:rPr>
          <w:rFonts w:hint="eastAsia" w:ascii="宋体" w:hAnsi="宋体" w:cs="宋体"/>
          <w:sz w:val="24"/>
        </w:rPr>
        <w:t>日期：      年      月     日</w:t>
      </w:r>
    </w:p>
    <w:p>
      <w:pPr>
        <w:spacing w:line="360" w:lineRule="auto"/>
        <w:rPr>
          <w:rFonts w:hint="eastAsia" w:asciiTheme="minorEastAsia" w:hAnsiTheme="minorEastAsia"/>
          <w:color w:val="000000" w:themeColor="text1"/>
          <w:sz w:val="24"/>
          <w:szCs w:val="24"/>
          <w14:textFill>
            <w14:solidFill>
              <w14:schemeClr w14:val="tx1"/>
            </w14:solidFill>
          </w14:textFill>
        </w:rPr>
      </w:pPr>
    </w:p>
    <w:p>
      <w:pPr>
        <w:widowControl/>
        <w:jc w:val="left"/>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br w:type="page"/>
      </w:r>
    </w:p>
    <w:p>
      <w:pPr>
        <w:spacing w:before="156" w:beforeLines="50" w:after="156" w:afterLines="50" w:line="360" w:lineRule="auto"/>
        <w:ind w:firstLine="4096" w:firstLineChars="170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四、投标承诺书</w:t>
      </w:r>
    </w:p>
    <w:p>
      <w:pPr>
        <w:spacing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南通市总工会：</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（投标单位全称）授权（姓名）（职务）为全权代表，参加南通市总工会 </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      （项目名称）</w:t>
      </w:r>
      <w:r>
        <w:rPr>
          <w:rFonts w:hint="eastAsia" w:asciiTheme="minorEastAsia" w:hAnsiTheme="minorEastAsia"/>
          <w:color w:val="000000" w:themeColor="text1"/>
          <w:sz w:val="24"/>
          <w:szCs w:val="24"/>
          <w14:textFill>
            <w14:solidFill>
              <w14:schemeClr w14:val="tx1"/>
            </w14:solidFill>
          </w14:textFill>
        </w:rPr>
        <w:t>招标的有关活动，并宣布同意如下：</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．我方愿意按照招标文件的全部要求进行投标（投标内容及价格以投标文件为准）。</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．我方完全理解并同意放弃对招标文件有不明及误解的权利。</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．我方将按招标文件的规定履行合同责任和义务。</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．如果我方在投标有效期内撤回投标，投标保证金将被贵方没收。</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．我方同意提供按照贵方可能要求的与其投标有关的一切数据或资料，理解贵方不一定要选择最低价的投标。</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．我方的投标书自开标后</w:t>
      </w:r>
      <w:r>
        <w:rPr>
          <w:rFonts w:asciiTheme="minorEastAsia" w:hAnsiTheme="minorEastAsia"/>
          <w:color w:val="000000" w:themeColor="text1"/>
          <w:sz w:val="24"/>
          <w:szCs w:val="24"/>
          <w14:textFill>
            <w14:solidFill>
              <w14:schemeClr w14:val="tx1"/>
            </w14:solidFill>
          </w14:textFill>
        </w:rPr>
        <w:t>30</w:t>
      </w:r>
      <w:r>
        <w:rPr>
          <w:rFonts w:hint="eastAsia" w:asciiTheme="minorEastAsia" w:hAnsiTheme="minorEastAsia"/>
          <w:color w:val="000000" w:themeColor="text1"/>
          <w:sz w:val="24"/>
          <w:szCs w:val="24"/>
          <w14:textFill>
            <w14:solidFill>
              <w14:schemeClr w14:val="tx1"/>
            </w14:solidFill>
          </w14:textFill>
        </w:rPr>
        <w:t>天内有效</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．与本投标有关的一切往来通讯请寄：</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　　　　　　　　　　　　　邮编：</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　　　　　　　　　　　　　传真：</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授权委托人签字：　　　　　　　　职务：</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投标单位名称：（加盖单位公章）</w:t>
      </w:r>
    </w:p>
    <w:p>
      <w:pPr>
        <w:spacing w:line="360" w:lineRule="auto"/>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日期：年月日　　</w:t>
      </w: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line="360" w:lineRule="auto"/>
        <w:rPr>
          <w:rFonts w:hint="eastAsia" w:asciiTheme="minorEastAsia" w:hAnsiTheme="minorEastAsia"/>
          <w:color w:val="000000" w:themeColor="text1"/>
          <w:sz w:val="24"/>
          <w:szCs w:val="24"/>
          <w14:textFill>
            <w14:solidFill>
              <w14:schemeClr w14:val="tx1"/>
            </w14:solidFill>
          </w14:textFill>
        </w:rPr>
      </w:pPr>
    </w:p>
    <w:p>
      <w:pPr>
        <w:spacing w:before="156" w:beforeLines="50" w:after="156" w:afterLines="50" w:line="360" w:lineRule="auto"/>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五、其他</w:t>
      </w:r>
    </w:p>
    <w:p>
      <w:pPr>
        <w:spacing w:line="360" w:lineRule="auto"/>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请磋商供应商根据评分标准组织资料，格式不限，但要求目录清晰、内容完备，便于评委评判。因目录不清晰或提供的材料（复印件）模糊，以至三分之二以上评委无法判断，而影响评分的责任由磋商供应商自行承担。</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4" w:type="default"/>
      <w:footerReference r:id="rId5" w:type="default"/>
      <w:pgSz w:w="11906" w:h="16838"/>
      <w:pgMar w:top="1418" w:right="1134"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2325"/>
    <w:multiLevelType w:val="multilevel"/>
    <w:tmpl w:val="0C2F2325"/>
    <w:lvl w:ilvl="0" w:tentative="0">
      <w:start w:val="1"/>
      <w:numFmt w:val="decimal"/>
      <w:lvlText w:val="%1."/>
      <w:lvlJc w:val="left"/>
      <w:pPr>
        <w:ind w:left="980" w:hanging="420"/>
      </w:pPr>
      <w:rPr>
        <w:rFonts w:ascii="仿宋" w:hAnsi="仿宋" w:eastAsia="仿宋"/>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DFF2A51"/>
    <w:multiLevelType w:val="multilevel"/>
    <w:tmpl w:val="0DFF2A5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pStyle w:val="4"/>
      <w:lvlText w:val="1.%4.1"/>
      <w:lvlJc w:val="left"/>
      <w:pPr>
        <w:ind w:left="864" w:hanging="864"/>
      </w:pPr>
      <w:rPr>
        <w:rFonts w:hint="eastAsia"/>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2B801218"/>
    <w:multiLevelType w:val="multilevel"/>
    <w:tmpl w:val="2B801218"/>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32D32D8"/>
    <w:multiLevelType w:val="multilevel"/>
    <w:tmpl w:val="532D32D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2NlYTUyNzkzMjFmNTdiNzNiMTFhNTRhY2Y2ODQifQ=="/>
  </w:docVars>
  <w:rsids>
    <w:rsidRoot w:val="00CB2304"/>
    <w:rsid w:val="000117B9"/>
    <w:rsid w:val="000209A1"/>
    <w:rsid w:val="000802E9"/>
    <w:rsid w:val="000F7CD0"/>
    <w:rsid w:val="0010328A"/>
    <w:rsid w:val="00121179"/>
    <w:rsid w:val="001242F8"/>
    <w:rsid w:val="001271C6"/>
    <w:rsid w:val="00127663"/>
    <w:rsid w:val="00141914"/>
    <w:rsid w:val="00177838"/>
    <w:rsid w:val="00191E0A"/>
    <w:rsid w:val="00195120"/>
    <w:rsid w:val="0019619B"/>
    <w:rsid w:val="001970F8"/>
    <w:rsid w:val="001C3D0B"/>
    <w:rsid w:val="001D235D"/>
    <w:rsid w:val="001E4636"/>
    <w:rsid w:val="001F702C"/>
    <w:rsid w:val="00264580"/>
    <w:rsid w:val="002E20F0"/>
    <w:rsid w:val="00307DBA"/>
    <w:rsid w:val="00312A39"/>
    <w:rsid w:val="00321277"/>
    <w:rsid w:val="00325676"/>
    <w:rsid w:val="003356E7"/>
    <w:rsid w:val="00382FF5"/>
    <w:rsid w:val="00386E00"/>
    <w:rsid w:val="00394287"/>
    <w:rsid w:val="003B0BB0"/>
    <w:rsid w:val="003C3AA3"/>
    <w:rsid w:val="003D2F7F"/>
    <w:rsid w:val="003E152F"/>
    <w:rsid w:val="00416B6E"/>
    <w:rsid w:val="00417318"/>
    <w:rsid w:val="004249C4"/>
    <w:rsid w:val="00454B6D"/>
    <w:rsid w:val="004572AA"/>
    <w:rsid w:val="0048795B"/>
    <w:rsid w:val="004A03C9"/>
    <w:rsid w:val="004B70E5"/>
    <w:rsid w:val="004C123C"/>
    <w:rsid w:val="004C2DB5"/>
    <w:rsid w:val="004C4B94"/>
    <w:rsid w:val="004D3292"/>
    <w:rsid w:val="004E59EE"/>
    <w:rsid w:val="00514AF0"/>
    <w:rsid w:val="00591372"/>
    <w:rsid w:val="005A2563"/>
    <w:rsid w:val="005C221E"/>
    <w:rsid w:val="005D61B9"/>
    <w:rsid w:val="0061619B"/>
    <w:rsid w:val="00640829"/>
    <w:rsid w:val="00665847"/>
    <w:rsid w:val="006C34B9"/>
    <w:rsid w:val="006C5911"/>
    <w:rsid w:val="006D7651"/>
    <w:rsid w:val="00717D00"/>
    <w:rsid w:val="00726762"/>
    <w:rsid w:val="0077671C"/>
    <w:rsid w:val="007B159F"/>
    <w:rsid w:val="007E2CCF"/>
    <w:rsid w:val="008024E9"/>
    <w:rsid w:val="00832C02"/>
    <w:rsid w:val="00852051"/>
    <w:rsid w:val="00855993"/>
    <w:rsid w:val="008E2E4A"/>
    <w:rsid w:val="009033A4"/>
    <w:rsid w:val="00925C8D"/>
    <w:rsid w:val="00927832"/>
    <w:rsid w:val="00946A05"/>
    <w:rsid w:val="0094700B"/>
    <w:rsid w:val="0095586E"/>
    <w:rsid w:val="00967E6F"/>
    <w:rsid w:val="009947B1"/>
    <w:rsid w:val="009A001B"/>
    <w:rsid w:val="009B7031"/>
    <w:rsid w:val="009D2B60"/>
    <w:rsid w:val="009E28F2"/>
    <w:rsid w:val="00A01524"/>
    <w:rsid w:val="00A520D5"/>
    <w:rsid w:val="00A636B0"/>
    <w:rsid w:val="00AA7D38"/>
    <w:rsid w:val="00AB0C1B"/>
    <w:rsid w:val="00AC5234"/>
    <w:rsid w:val="00AE4C67"/>
    <w:rsid w:val="00AF752A"/>
    <w:rsid w:val="00B16D80"/>
    <w:rsid w:val="00B2275F"/>
    <w:rsid w:val="00B33A35"/>
    <w:rsid w:val="00B61BDF"/>
    <w:rsid w:val="00B91E1A"/>
    <w:rsid w:val="00B93E5C"/>
    <w:rsid w:val="00B96D34"/>
    <w:rsid w:val="00BA10E0"/>
    <w:rsid w:val="00BB54D1"/>
    <w:rsid w:val="00C40DEA"/>
    <w:rsid w:val="00C45188"/>
    <w:rsid w:val="00C503D4"/>
    <w:rsid w:val="00C5173A"/>
    <w:rsid w:val="00C660F0"/>
    <w:rsid w:val="00CB2304"/>
    <w:rsid w:val="00CB6B14"/>
    <w:rsid w:val="00CE45BB"/>
    <w:rsid w:val="00CE4E9F"/>
    <w:rsid w:val="00CE5872"/>
    <w:rsid w:val="00CF07D0"/>
    <w:rsid w:val="00D02114"/>
    <w:rsid w:val="00D1659A"/>
    <w:rsid w:val="00DC2566"/>
    <w:rsid w:val="00DC497F"/>
    <w:rsid w:val="00DD6E30"/>
    <w:rsid w:val="00DE3D9E"/>
    <w:rsid w:val="00DE73F3"/>
    <w:rsid w:val="00DF7F58"/>
    <w:rsid w:val="00E33EE8"/>
    <w:rsid w:val="00E3503D"/>
    <w:rsid w:val="00E9439D"/>
    <w:rsid w:val="00ED4BC7"/>
    <w:rsid w:val="00F015E9"/>
    <w:rsid w:val="00F362B8"/>
    <w:rsid w:val="00F57A3F"/>
    <w:rsid w:val="00FE3DA1"/>
    <w:rsid w:val="00FF2EC4"/>
    <w:rsid w:val="00FF7B4F"/>
    <w:rsid w:val="01395070"/>
    <w:rsid w:val="02FF6175"/>
    <w:rsid w:val="0321400D"/>
    <w:rsid w:val="037F7267"/>
    <w:rsid w:val="04081C87"/>
    <w:rsid w:val="040C0819"/>
    <w:rsid w:val="04425FE9"/>
    <w:rsid w:val="04695C6C"/>
    <w:rsid w:val="046B3792"/>
    <w:rsid w:val="04B0389B"/>
    <w:rsid w:val="055E6E53"/>
    <w:rsid w:val="058D598A"/>
    <w:rsid w:val="05CF1A94"/>
    <w:rsid w:val="06085010"/>
    <w:rsid w:val="06A44D39"/>
    <w:rsid w:val="08325B5F"/>
    <w:rsid w:val="085D282C"/>
    <w:rsid w:val="095347F5"/>
    <w:rsid w:val="0A4505E1"/>
    <w:rsid w:val="0ABF65E6"/>
    <w:rsid w:val="0B3C4D99"/>
    <w:rsid w:val="0B4B1C27"/>
    <w:rsid w:val="0C2F1549"/>
    <w:rsid w:val="0CB53F20"/>
    <w:rsid w:val="0CE22F7D"/>
    <w:rsid w:val="0D200E92"/>
    <w:rsid w:val="0D5C6DEE"/>
    <w:rsid w:val="0E9B2EC6"/>
    <w:rsid w:val="0EDE2DB2"/>
    <w:rsid w:val="0F234C69"/>
    <w:rsid w:val="0F53554E"/>
    <w:rsid w:val="112B36C9"/>
    <w:rsid w:val="11791189"/>
    <w:rsid w:val="11E06E41"/>
    <w:rsid w:val="13347445"/>
    <w:rsid w:val="13546A93"/>
    <w:rsid w:val="13D84274"/>
    <w:rsid w:val="148661FA"/>
    <w:rsid w:val="149D101A"/>
    <w:rsid w:val="14DB04C0"/>
    <w:rsid w:val="15192D96"/>
    <w:rsid w:val="15A765F4"/>
    <w:rsid w:val="15BB3A4F"/>
    <w:rsid w:val="15D869FE"/>
    <w:rsid w:val="15E74C42"/>
    <w:rsid w:val="16CB39D5"/>
    <w:rsid w:val="16D92A49"/>
    <w:rsid w:val="17377504"/>
    <w:rsid w:val="1744435A"/>
    <w:rsid w:val="176E1D6D"/>
    <w:rsid w:val="18626802"/>
    <w:rsid w:val="189015C1"/>
    <w:rsid w:val="18DA1866"/>
    <w:rsid w:val="1945415A"/>
    <w:rsid w:val="19632C27"/>
    <w:rsid w:val="19BE5FBE"/>
    <w:rsid w:val="1A141D7E"/>
    <w:rsid w:val="1A2E1092"/>
    <w:rsid w:val="1B131F13"/>
    <w:rsid w:val="1B5543FC"/>
    <w:rsid w:val="1BE6641B"/>
    <w:rsid w:val="1C676ADD"/>
    <w:rsid w:val="1C9037FA"/>
    <w:rsid w:val="1DD65CC8"/>
    <w:rsid w:val="1F187E58"/>
    <w:rsid w:val="1F7D2063"/>
    <w:rsid w:val="20D564C9"/>
    <w:rsid w:val="21357B40"/>
    <w:rsid w:val="216644E5"/>
    <w:rsid w:val="21A734D8"/>
    <w:rsid w:val="21F551AF"/>
    <w:rsid w:val="2220647D"/>
    <w:rsid w:val="224410BD"/>
    <w:rsid w:val="226C5EBA"/>
    <w:rsid w:val="22AC524A"/>
    <w:rsid w:val="22DB78DD"/>
    <w:rsid w:val="22FE3F41"/>
    <w:rsid w:val="23273161"/>
    <w:rsid w:val="235C2297"/>
    <w:rsid w:val="23D5257E"/>
    <w:rsid w:val="246E7DD4"/>
    <w:rsid w:val="24741D97"/>
    <w:rsid w:val="24B31ED8"/>
    <w:rsid w:val="265E685B"/>
    <w:rsid w:val="275913DB"/>
    <w:rsid w:val="283917B1"/>
    <w:rsid w:val="28861CFA"/>
    <w:rsid w:val="29341AF5"/>
    <w:rsid w:val="2A4144C9"/>
    <w:rsid w:val="2B54647E"/>
    <w:rsid w:val="2B600244"/>
    <w:rsid w:val="2B620B9B"/>
    <w:rsid w:val="2BD66E93"/>
    <w:rsid w:val="2C2C73FB"/>
    <w:rsid w:val="2C3A38C6"/>
    <w:rsid w:val="2C5A1872"/>
    <w:rsid w:val="2C9B0617"/>
    <w:rsid w:val="2CED26E7"/>
    <w:rsid w:val="2CFC0B7C"/>
    <w:rsid w:val="2D0A3299"/>
    <w:rsid w:val="2D1759B5"/>
    <w:rsid w:val="2D3D53A0"/>
    <w:rsid w:val="2D4A7B39"/>
    <w:rsid w:val="2DCB46F1"/>
    <w:rsid w:val="2E35102B"/>
    <w:rsid w:val="2E8E1CA7"/>
    <w:rsid w:val="2F0957D2"/>
    <w:rsid w:val="2F884949"/>
    <w:rsid w:val="2FCF4325"/>
    <w:rsid w:val="30197C97"/>
    <w:rsid w:val="30D36097"/>
    <w:rsid w:val="315A40C3"/>
    <w:rsid w:val="31864EB8"/>
    <w:rsid w:val="32067B68"/>
    <w:rsid w:val="32A26C11"/>
    <w:rsid w:val="32C569DF"/>
    <w:rsid w:val="33574D5E"/>
    <w:rsid w:val="345614B9"/>
    <w:rsid w:val="34AC732B"/>
    <w:rsid w:val="34E16FD5"/>
    <w:rsid w:val="358871DC"/>
    <w:rsid w:val="36362077"/>
    <w:rsid w:val="36745C27"/>
    <w:rsid w:val="36FF7BE6"/>
    <w:rsid w:val="37217B5C"/>
    <w:rsid w:val="373830F8"/>
    <w:rsid w:val="37500442"/>
    <w:rsid w:val="383C4522"/>
    <w:rsid w:val="38AD71CE"/>
    <w:rsid w:val="395444FA"/>
    <w:rsid w:val="39D0586A"/>
    <w:rsid w:val="3A1514CF"/>
    <w:rsid w:val="3B675D5A"/>
    <w:rsid w:val="3D5456C8"/>
    <w:rsid w:val="3DF338D5"/>
    <w:rsid w:val="3EBC4389"/>
    <w:rsid w:val="3EED1454"/>
    <w:rsid w:val="3FBD32B0"/>
    <w:rsid w:val="40115943"/>
    <w:rsid w:val="40385AE1"/>
    <w:rsid w:val="41840C58"/>
    <w:rsid w:val="41A90E7A"/>
    <w:rsid w:val="41C71300"/>
    <w:rsid w:val="41F9495D"/>
    <w:rsid w:val="42613503"/>
    <w:rsid w:val="42955F29"/>
    <w:rsid w:val="437E1E93"/>
    <w:rsid w:val="43F6411F"/>
    <w:rsid w:val="44FC39B7"/>
    <w:rsid w:val="453B42BC"/>
    <w:rsid w:val="45F638B4"/>
    <w:rsid w:val="46BC33FE"/>
    <w:rsid w:val="46E75FA1"/>
    <w:rsid w:val="46EA5379"/>
    <w:rsid w:val="46EB4278"/>
    <w:rsid w:val="476B088A"/>
    <w:rsid w:val="47AB5220"/>
    <w:rsid w:val="484D0086"/>
    <w:rsid w:val="48621D83"/>
    <w:rsid w:val="4871646A"/>
    <w:rsid w:val="4874409C"/>
    <w:rsid w:val="487A3570"/>
    <w:rsid w:val="49311755"/>
    <w:rsid w:val="49634005"/>
    <w:rsid w:val="4970227E"/>
    <w:rsid w:val="49D15412"/>
    <w:rsid w:val="4AC05487"/>
    <w:rsid w:val="4B2C0426"/>
    <w:rsid w:val="4B476162"/>
    <w:rsid w:val="4B893ACB"/>
    <w:rsid w:val="4E5B34FC"/>
    <w:rsid w:val="4F1A5806"/>
    <w:rsid w:val="4F5279C6"/>
    <w:rsid w:val="4F8B4887"/>
    <w:rsid w:val="50970286"/>
    <w:rsid w:val="50E83041"/>
    <w:rsid w:val="512B20B9"/>
    <w:rsid w:val="518E1E3B"/>
    <w:rsid w:val="51CB2747"/>
    <w:rsid w:val="52285DEB"/>
    <w:rsid w:val="53364538"/>
    <w:rsid w:val="53824CDC"/>
    <w:rsid w:val="53C25DCC"/>
    <w:rsid w:val="53FB5F23"/>
    <w:rsid w:val="542B571F"/>
    <w:rsid w:val="54972245"/>
    <w:rsid w:val="54BE08D0"/>
    <w:rsid w:val="55913C7C"/>
    <w:rsid w:val="56060FAB"/>
    <w:rsid w:val="56521689"/>
    <w:rsid w:val="56631DAF"/>
    <w:rsid w:val="570566FB"/>
    <w:rsid w:val="573D6AD0"/>
    <w:rsid w:val="58116908"/>
    <w:rsid w:val="584B2834"/>
    <w:rsid w:val="58CD3249"/>
    <w:rsid w:val="592D1F39"/>
    <w:rsid w:val="599F37FD"/>
    <w:rsid w:val="59BB7166"/>
    <w:rsid w:val="5A296BA4"/>
    <w:rsid w:val="5AA66F62"/>
    <w:rsid w:val="5AAB580B"/>
    <w:rsid w:val="5AF232C4"/>
    <w:rsid w:val="5B7714C8"/>
    <w:rsid w:val="5C62014C"/>
    <w:rsid w:val="5C7659A5"/>
    <w:rsid w:val="5C806824"/>
    <w:rsid w:val="5CC15AE3"/>
    <w:rsid w:val="5DAB5B22"/>
    <w:rsid w:val="5EE2201E"/>
    <w:rsid w:val="5F1C0A86"/>
    <w:rsid w:val="5F1F0576"/>
    <w:rsid w:val="5F7C1524"/>
    <w:rsid w:val="5F8E3006"/>
    <w:rsid w:val="5FA665A1"/>
    <w:rsid w:val="60940AF0"/>
    <w:rsid w:val="61A94127"/>
    <w:rsid w:val="62D6719E"/>
    <w:rsid w:val="631B1054"/>
    <w:rsid w:val="63FD075A"/>
    <w:rsid w:val="64095351"/>
    <w:rsid w:val="64654C7D"/>
    <w:rsid w:val="646A2293"/>
    <w:rsid w:val="64D44A83"/>
    <w:rsid w:val="65F00576"/>
    <w:rsid w:val="66C37A39"/>
    <w:rsid w:val="67BB4BB4"/>
    <w:rsid w:val="67C972D1"/>
    <w:rsid w:val="67CA2289"/>
    <w:rsid w:val="67D87514"/>
    <w:rsid w:val="68150768"/>
    <w:rsid w:val="693A5EF4"/>
    <w:rsid w:val="69937B96"/>
    <w:rsid w:val="6A507835"/>
    <w:rsid w:val="6A7A2B04"/>
    <w:rsid w:val="6AC344AB"/>
    <w:rsid w:val="6ACB15B2"/>
    <w:rsid w:val="6AD246EE"/>
    <w:rsid w:val="6AD2649C"/>
    <w:rsid w:val="6B243303"/>
    <w:rsid w:val="6C445178"/>
    <w:rsid w:val="6C841A18"/>
    <w:rsid w:val="6CFE17CB"/>
    <w:rsid w:val="6D005437"/>
    <w:rsid w:val="6D56468D"/>
    <w:rsid w:val="6DA25353"/>
    <w:rsid w:val="6DA32372"/>
    <w:rsid w:val="6DE210EC"/>
    <w:rsid w:val="6E386F5E"/>
    <w:rsid w:val="6EFD5AB2"/>
    <w:rsid w:val="6F062BB9"/>
    <w:rsid w:val="6F3747F9"/>
    <w:rsid w:val="6FB97C2B"/>
    <w:rsid w:val="70C6670F"/>
    <w:rsid w:val="712D481A"/>
    <w:rsid w:val="719C7539"/>
    <w:rsid w:val="719C7804"/>
    <w:rsid w:val="72246A65"/>
    <w:rsid w:val="737C169B"/>
    <w:rsid w:val="73881387"/>
    <w:rsid w:val="74A25132"/>
    <w:rsid w:val="75181898"/>
    <w:rsid w:val="75842A89"/>
    <w:rsid w:val="763109C7"/>
    <w:rsid w:val="76F123A0"/>
    <w:rsid w:val="77701517"/>
    <w:rsid w:val="77804029"/>
    <w:rsid w:val="77A6318B"/>
    <w:rsid w:val="77DC14AC"/>
    <w:rsid w:val="77E51F05"/>
    <w:rsid w:val="782C66D7"/>
    <w:rsid w:val="785E1CB7"/>
    <w:rsid w:val="798E180D"/>
    <w:rsid w:val="79DA711C"/>
    <w:rsid w:val="7AC04290"/>
    <w:rsid w:val="7ACA3634"/>
    <w:rsid w:val="7AD812B2"/>
    <w:rsid w:val="7B810197"/>
    <w:rsid w:val="7BD302C6"/>
    <w:rsid w:val="7BD75A22"/>
    <w:rsid w:val="7C8D66C7"/>
    <w:rsid w:val="7CB9570E"/>
    <w:rsid w:val="7D2D3A06"/>
    <w:rsid w:val="7D4274B2"/>
    <w:rsid w:val="7D985455"/>
    <w:rsid w:val="7DA57A41"/>
    <w:rsid w:val="7DDF73F6"/>
    <w:rsid w:val="7DF84014"/>
    <w:rsid w:val="7FB612E0"/>
    <w:rsid w:val="7FC06DB4"/>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4">
    <w:name w:val="heading 4"/>
    <w:basedOn w:val="1"/>
    <w:next w:val="1"/>
    <w:unhideWhenUsed/>
    <w:qFormat/>
    <w:uiPriority w:val="0"/>
    <w:pPr>
      <w:keepNext/>
      <w:keepLines/>
      <w:numPr>
        <w:ilvl w:val="3"/>
        <w:numId w:val="1"/>
      </w:numPr>
      <w:spacing w:before="280" w:after="290" w:line="376" w:lineRule="auto"/>
      <w:outlineLvl w:val="3"/>
    </w:pPr>
    <w:rPr>
      <w:rFonts w:ascii="等线 Light" w:hAnsi="等线 Light"/>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annotation text"/>
    <w:basedOn w:val="1"/>
    <w:unhideWhenUsed/>
    <w:qFormat/>
    <w:uiPriority w:val="0"/>
    <w:pPr>
      <w:jc w:val="left"/>
    </w:pPr>
    <w:rPr>
      <w:rFonts w:ascii="Calibri" w:hAnsi="Calibri" w:eastAsia="微软雅黑"/>
      <w:kern w:val="0"/>
      <w:sz w:val="20"/>
      <w:szCs w:val="21"/>
    </w:rPr>
  </w:style>
  <w:style w:type="paragraph" w:styleId="7">
    <w:name w:val="Body Text"/>
    <w:basedOn w:val="1"/>
    <w:qFormat/>
    <w:uiPriority w:val="0"/>
    <w:rPr>
      <w:rFonts w:ascii="仿宋_GB2312" w:eastAsia="仿宋_GB2312"/>
      <w:kern w:val="0"/>
      <w:sz w:val="24"/>
      <w:szCs w:val="20"/>
    </w:rPr>
  </w:style>
  <w:style w:type="paragraph" w:styleId="8">
    <w:name w:val="Body Text Indent"/>
    <w:basedOn w:val="1"/>
    <w:next w:val="9"/>
    <w:qFormat/>
    <w:uiPriority w:val="0"/>
    <w:pPr>
      <w:spacing w:line="520" w:lineRule="exact"/>
      <w:ind w:left="570"/>
    </w:pPr>
    <w:rPr>
      <w:rFonts w:ascii="方正仿宋简体" w:hAnsi="创艺简仿宋" w:eastAsia="方正仿宋简体"/>
      <w:sz w:val="24"/>
    </w:rPr>
  </w:style>
  <w:style w:type="paragraph" w:styleId="9">
    <w:name w:val="envelope return"/>
    <w:basedOn w:val="1"/>
    <w:unhideWhenUsed/>
    <w:qFormat/>
    <w:uiPriority w:val="99"/>
    <w:pPr>
      <w:snapToGrid w:val="0"/>
    </w:pPr>
    <w:rPr>
      <w:rFonts w:ascii="Arial" w:hAnsi="Arial"/>
    </w:rPr>
  </w:style>
  <w:style w:type="paragraph" w:styleId="10">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1">
    <w:name w:val="Plain Text"/>
    <w:basedOn w:val="1"/>
    <w:qFormat/>
    <w:uiPriority w:val="0"/>
    <w:rPr>
      <w:rFonts w:ascii="宋体" w:hAnsi="Courier New"/>
      <w:szCs w:val="20"/>
    </w:rPr>
  </w:style>
  <w:style w:type="paragraph" w:styleId="12">
    <w:name w:val="Body Text Indent 2"/>
    <w:basedOn w:val="1"/>
    <w:link w:val="32"/>
    <w:qFormat/>
    <w:uiPriority w:val="99"/>
    <w:pPr>
      <w:widowControl/>
      <w:spacing w:line="360" w:lineRule="auto"/>
      <w:ind w:firstLine="573"/>
    </w:pPr>
    <w:rPr>
      <w:sz w:val="24"/>
    </w:rPr>
  </w:style>
  <w:style w:type="paragraph" w:styleId="13">
    <w:name w:val="Balloon Text"/>
    <w:basedOn w:val="1"/>
    <w:link w:val="34"/>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eastAsia="宋体" w:cs="Times New Roman"/>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Body Text First Indent 2"/>
    <w:basedOn w:val="8"/>
    <w:next w:val="10"/>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99"/>
    <w:rPr>
      <w:rFonts w:cs="Times New Roman"/>
      <w:color w:val="0000FF"/>
      <w:u w:val="single"/>
    </w:rPr>
  </w:style>
  <w:style w:type="paragraph" w:customStyle="1" w:styleId="24">
    <w:name w:val="首行缩进"/>
    <w:basedOn w:val="1"/>
    <w:next w:val="1"/>
    <w:qFormat/>
    <w:uiPriority w:val="0"/>
    <w:pPr>
      <w:spacing w:line="360" w:lineRule="auto"/>
      <w:ind w:firstLine="480" w:firstLineChars="200"/>
    </w:pPr>
    <w:rPr>
      <w:rFonts w:ascii="宋体" w:hAnsi="宋体" w:cs="宋体"/>
      <w:kern w:val="0"/>
      <w:sz w:val="24"/>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character" w:customStyle="1" w:styleId="27">
    <w:name w:val="标题 1 字符"/>
    <w:basedOn w:val="21"/>
    <w:link w:val="2"/>
    <w:qFormat/>
    <w:uiPriority w:val="99"/>
    <w:rPr>
      <w:rFonts w:ascii="Calibri" w:hAnsi="Calibri" w:eastAsia="宋体" w:cs="Times New Roman"/>
      <w:b/>
      <w:bCs/>
      <w:kern w:val="44"/>
      <w:sz w:val="44"/>
      <w:szCs w:val="44"/>
    </w:r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正文缩进2格 Char"/>
    <w:link w:val="30"/>
    <w:qFormat/>
    <w:uiPriority w:val="0"/>
    <w:rPr>
      <w:rFonts w:ascii="仿宋_GB2312" w:hAnsi="宋体" w:eastAsia="仿宋_GB2312" w:cs="Times New Roman"/>
      <w:sz w:val="31"/>
      <w:szCs w:val="28"/>
    </w:rPr>
  </w:style>
  <w:style w:type="paragraph" w:customStyle="1" w:styleId="30">
    <w:name w:val="正文缩进2格"/>
    <w:basedOn w:val="1"/>
    <w:link w:val="29"/>
    <w:qFormat/>
    <w:uiPriority w:val="0"/>
    <w:pPr>
      <w:spacing w:line="600" w:lineRule="exact"/>
      <w:ind w:firstLine="639" w:firstLineChars="206"/>
    </w:pPr>
    <w:rPr>
      <w:rFonts w:ascii="仿宋_GB2312" w:hAnsi="宋体" w:eastAsia="仿宋_GB2312" w:cs="Times New Roman"/>
      <w:sz w:val="31"/>
      <w:szCs w:val="28"/>
    </w:rPr>
  </w:style>
  <w:style w:type="character" w:customStyle="1" w:styleId="31">
    <w:name w:val="正文文本缩进 2 Char"/>
    <w:qFormat/>
    <w:locked/>
    <w:uiPriority w:val="99"/>
    <w:rPr>
      <w:sz w:val="24"/>
    </w:rPr>
  </w:style>
  <w:style w:type="character" w:customStyle="1" w:styleId="32">
    <w:name w:val="正文文本缩进 2 字符"/>
    <w:basedOn w:val="21"/>
    <w:link w:val="12"/>
    <w:semiHidden/>
    <w:qFormat/>
    <w:uiPriority w:val="99"/>
  </w:style>
  <w:style w:type="paragraph" w:styleId="33">
    <w:name w:val="List Paragraph"/>
    <w:basedOn w:val="1"/>
    <w:qFormat/>
    <w:uiPriority w:val="34"/>
    <w:pPr>
      <w:ind w:firstLine="420" w:firstLineChars="200"/>
    </w:pPr>
  </w:style>
  <w:style w:type="character" w:customStyle="1" w:styleId="34">
    <w:name w:val="批注框文本 字符"/>
    <w:basedOn w:val="21"/>
    <w:link w:val="13"/>
    <w:semiHidden/>
    <w:qFormat/>
    <w:uiPriority w:val="99"/>
    <w:rPr>
      <w:rFonts w:asciiTheme="minorHAnsi" w:hAnsiTheme="minorHAnsi" w:eastAsiaTheme="minorEastAsia" w:cstheme="minorBidi"/>
      <w:kern w:val="2"/>
      <w:sz w:val="18"/>
      <w:szCs w:val="18"/>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列出段落1"/>
    <w:basedOn w:val="1"/>
    <w:qFormat/>
    <w:uiPriority w:val="34"/>
    <w:pPr>
      <w:widowControl/>
      <w:ind w:left="720"/>
      <w:contextualSpacing/>
      <w:jc w:val="left"/>
    </w:pPr>
    <w:rPr>
      <w:kern w:val="0"/>
      <w:sz w:val="24"/>
      <w:szCs w:val="24"/>
      <w:lang w:eastAsia="en-US" w:bidi="en-US"/>
    </w:rPr>
  </w:style>
  <w:style w:type="paragraph" w:customStyle="1" w:styleId="37">
    <w:name w:val="列出段落11"/>
    <w:basedOn w:val="1"/>
    <w:qFormat/>
    <w:uiPriority w:val="0"/>
    <w:pPr>
      <w:widowControl/>
      <w:spacing w:line="300" w:lineRule="auto"/>
      <w:ind w:firstLine="420" w:firstLineChars="200"/>
    </w:pPr>
    <w:rPr>
      <w:rFonts w:ascii="Arial" w:hAnsi="Arial" w:eastAsia="微软雅黑" w:cs="Times New Roman"/>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8783F-E2C1-48D1-A5D7-EC5C641251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2372</Words>
  <Characters>13524</Characters>
  <Lines>112</Lines>
  <Paragraphs>31</Paragraphs>
  <TotalTime>22</TotalTime>
  <ScaleCrop>false</ScaleCrop>
  <LinksUpToDate>false</LinksUpToDate>
  <CharactersWithSpaces>15865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2018-08-14T09:11:00Z</dcterms:created>
  <dc:creator>Administrator</dc:creator>
  <cp:lastModifiedBy>张煜辉</cp:lastModifiedBy>
  <cp:lastPrinted>2021-01-08T02:21:00Z</cp:lastPrinted>
  <dcterms:modified xsi:type="dcterms:W3CDTF">2025-08-11T08:45:49Z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A4A389D40E6641DCAD6516F153D66535_13</vt:lpwstr>
  </property>
  <property fmtid="{D5CDD505-2E9C-101B-9397-08002B2CF9AE}" pid="4" name="KSOTemplateDocerSaveRecord">
    <vt:lpwstr>eyJoZGlkIjoiNjg5Zjc1ODhkMmJlMThlY2M3MGE5NmMzNDI4ZDUzNjEiLCJ1c2VySWQiOiIyNTYxNDI4NDkifQ==</vt:lpwstr>
  </property>
</Properties>
</file>